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atLeast"/>
        <w:jc w:val="center"/>
        <w:rPr>
          <w:rFonts w:hint="eastAsia" w:ascii="方正小标宋简体" w:hAnsi="方正小标宋简体" w:eastAsia="方正小标宋简体" w:cs="方正小标宋简体"/>
          <w:bCs/>
          <w:sz w:val="44"/>
          <w:lang w:eastAsia="zh-CN"/>
        </w:rPr>
      </w:pPr>
      <w:r>
        <w:rPr>
          <w:rFonts w:hint="eastAsia" w:ascii="方正小标宋简体" w:hAnsi="方正小标宋简体" w:eastAsia="方正小标宋简体" w:cs="方正小标宋简体"/>
          <w:bCs/>
          <w:sz w:val="44"/>
          <w:lang w:eastAsia="zh-CN"/>
        </w:rPr>
        <w:t>遂昌县应急管理局关于持续做好企业百万员工安全大培训工作的通知（</w:t>
      </w:r>
      <w:r>
        <w:rPr>
          <w:rFonts w:hint="eastAsia" w:ascii="方正小标宋简体" w:hAnsi="方正小标宋简体" w:eastAsia="方正小标宋简体" w:cs="方正小标宋简体"/>
          <w:bCs/>
          <w:sz w:val="44"/>
          <w:lang w:val="en-US" w:eastAsia="zh-CN"/>
        </w:rPr>
        <w:t>征求意见稿</w:t>
      </w:r>
      <w:bookmarkStart w:id="1" w:name="_GoBack"/>
      <w:bookmarkEnd w:id="1"/>
      <w:r>
        <w:rPr>
          <w:rFonts w:hint="eastAsia" w:ascii="方正小标宋简体" w:hAnsi="方正小标宋简体" w:eastAsia="方正小标宋简体" w:cs="方正小标宋简体"/>
          <w:bCs/>
          <w:sz w:val="44"/>
          <w:lang w:eastAsia="zh-CN"/>
        </w:rPr>
        <w:t>）</w:t>
      </w:r>
    </w:p>
    <w:p>
      <w:pPr>
        <w:snapToGrid w:val="0"/>
        <w:spacing w:line="560" w:lineRule="atLeast"/>
        <w:jc w:val="center"/>
        <w:rPr>
          <w:rFonts w:hint="eastAsia" w:ascii="仿宋_GB2312" w:hAnsi="宋体"/>
        </w:rPr>
      </w:pPr>
    </w:p>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各乡镇人民政府、街道办事处，县有关部门</w:t>
      </w:r>
      <w:r>
        <w:rPr>
          <w:rFonts w:hint="eastAsia" w:ascii="仿宋_GB2312" w:hAnsi="仿宋_GB2312" w:eastAsia="仿宋_GB2312" w:cs="仿宋_GB2312"/>
          <w:sz w:val="32"/>
          <w:szCs w:val="32"/>
        </w:rPr>
        <w:t>：</w:t>
      </w:r>
      <w:bookmarkStart w:id="0" w:name="Body"/>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根据《浙江省应急管理厅关于持续开展企业百万员工安全大培训工作的通知》（浙应急基础〔2023〕1号）、《浙江省应急管理“十四五”规划》</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丽水市应急管理局关于持续开展企业百万员工安全大培训工作的通知</w:t>
      </w:r>
      <w:r>
        <w:rPr>
          <w:rFonts w:hint="eastAsia" w:ascii="仿宋_GB2312" w:hAnsi="仿宋_GB2312" w:eastAsia="仿宋_GB2312" w:cs="仿宋_GB2312"/>
          <w:sz w:val="32"/>
          <w:szCs w:val="32"/>
          <w:lang w:val="en-US" w:eastAsia="zh-CN"/>
        </w:rPr>
        <w:t>》（丽</w:t>
      </w:r>
      <w:r>
        <w:rPr>
          <w:rFonts w:hint="eastAsia" w:ascii="仿宋_GB2312" w:hAnsi="仿宋_GB2312" w:eastAsia="仿宋_GB2312" w:cs="仿宋_GB2312"/>
          <w:sz w:val="32"/>
          <w:szCs w:val="32"/>
        </w:rPr>
        <w:t>应急〔2023〕1号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及相关培训工作要求</w:t>
      </w:r>
      <w:r>
        <w:rPr>
          <w:rFonts w:hint="eastAsia" w:ascii="仿宋_GB2312" w:hAnsi="仿宋_GB2312" w:eastAsia="仿宋_GB2312" w:cs="仿宋_GB2312"/>
          <w:sz w:val="32"/>
          <w:szCs w:val="32"/>
          <w:lang w:eastAsia="zh-CN"/>
        </w:rPr>
        <w:t>，结合年度工作重点，</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4-2025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rPr>
        <w:t>持续</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企业百万员工安全大培训工作，现将有关要求通知如下：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主要目标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4-2025</w:t>
      </w:r>
      <w:r>
        <w:rPr>
          <w:rFonts w:hint="eastAsia" w:ascii="仿宋_GB2312" w:hAnsi="仿宋_GB2312" w:eastAsia="仿宋_GB2312" w:cs="仿宋_GB2312"/>
          <w:sz w:val="32"/>
          <w:szCs w:val="32"/>
        </w:rPr>
        <w:t>年，每年培训企业从业人员不少于</w:t>
      </w:r>
      <w:r>
        <w:rPr>
          <w:rFonts w:hint="eastAsia" w:ascii="仿宋_GB2312" w:hAnsi="仿宋_GB2312" w:eastAsia="仿宋_GB2312" w:cs="仿宋_GB2312"/>
          <w:sz w:val="32"/>
          <w:szCs w:val="32"/>
          <w:lang w:val="en-US" w:eastAsia="zh-CN"/>
        </w:rPr>
        <w:t>5510</w:t>
      </w:r>
      <w:r>
        <w:rPr>
          <w:rFonts w:hint="eastAsia" w:ascii="仿宋_GB2312" w:hAnsi="仿宋_GB2312" w:eastAsia="仿宋_GB2312" w:cs="仿宋_GB2312"/>
          <w:sz w:val="32"/>
          <w:szCs w:val="32"/>
        </w:rPr>
        <w:t>人次</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eastAsia="zh-CN"/>
        </w:rPr>
        <w:t>全县生产加工型小微企业主要负责人、安全管理人员、重点岗位人员安全培训全覆盖，培训人数不少于</w:t>
      </w:r>
      <w:r>
        <w:rPr>
          <w:rFonts w:hint="eastAsia" w:ascii="仿宋_GB2312" w:hAnsi="仿宋_GB2312" w:eastAsia="仿宋_GB2312" w:cs="仿宋_GB2312"/>
          <w:color w:val="000000"/>
          <w:sz w:val="32"/>
          <w:szCs w:val="32"/>
          <w:lang w:val="en-US" w:eastAsia="zh-CN"/>
        </w:rPr>
        <w:t>3300</w:t>
      </w:r>
      <w:r>
        <w:rPr>
          <w:rFonts w:hint="eastAsia" w:ascii="仿宋_GB2312" w:hAnsi="仿宋_GB2312" w:eastAsia="仿宋_GB2312" w:cs="仿宋_GB2312"/>
          <w:color w:val="000000"/>
          <w:sz w:val="32"/>
          <w:szCs w:val="32"/>
          <w:lang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（二）全县“三场所两企业”、工贸行业使用危险化学品等危险性较高企业主要负责人、安全管理人员、重点岗位人员安全培训全覆盖，培训人数不少于950人。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（三）全县危险化学品、</w:t>
      </w:r>
      <w:r>
        <w:rPr>
          <w:rFonts w:hint="eastAsia" w:ascii="仿宋_GB2312" w:hAnsi="仿宋_GB2312" w:eastAsia="仿宋_GB2312" w:cs="仿宋_GB2312"/>
          <w:color w:val="000000"/>
          <w:sz w:val="32"/>
          <w:szCs w:val="32"/>
          <w:lang w:val="en-US" w:eastAsia="zh-CN"/>
        </w:rPr>
        <w:t>非</w:t>
      </w:r>
      <w:r>
        <w:rPr>
          <w:rFonts w:hint="eastAsia" w:ascii="仿宋_GB2312" w:hAnsi="仿宋_GB2312" w:eastAsia="仿宋_GB2312" w:cs="仿宋_GB2312"/>
          <w:color w:val="000000"/>
          <w:sz w:val="32"/>
          <w:szCs w:val="32"/>
          <w:lang w:eastAsia="zh-CN"/>
        </w:rPr>
        <w:t>煤矿山、烟花爆竹、金属冶炼等高危行业企业各类从业人员安全培训全覆盖，培训人数不少于</w:t>
      </w:r>
      <w:r>
        <w:rPr>
          <w:rFonts w:hint="eastAsia" w:ascii="仿宋_GB2312" w:hAnsi="仿宋_GB2312" w:eastAsia="仿宋_GB2312" w:cs="仿宋_GB2312"/>
          <w:color w:val="000000"/>
          <w:sz w:val="32"/>
          <w:szCs w:val="32"/>
          <w:lang w:val="en-US" w:eastAsia="zh-CN"/>
        </w:rPr>
        <w:t>1260</w:t>
      </w:r>
      <w:r>
        <w:rPr>
          <w:rFonts w:hint="eastAsia" w:ascii="仿宋_GB2312" w:hAnsi="仿宋_GB2312" w:eastAsia="仿宋_GB2312" w:cs="仿宋_GB2312"/>
          <w:color w:val="000000"/>
          <w:sz w:val="32"/>
          <w:szCs w:val="32"/>
          <w:lang w:eastAsia="zh-CN"/>
        </w:rPr>
        <w:t>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到2025年底，全面实现全</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加工制造类小微企业（小微园）、三场所两企业、危险化学品使用等企业主要负责人、安全管理人员和重点岗位人员培训全覆盖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全</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高危行业企业主要负责人、安全管理人员和特种作业人员持证上岗100%</w:t>
      </w:r>
      <w:r>
        <w:rPr>
          <w:rFonts w:hint="eastAsia" w:ascii="仿宋_GB2312" w:hAnsi="仿宋_GB2312" w:eastAsia="仿宋_GB2312" w:cs="仿宋_GB2312"/>
          <w:color w:val="000000"/>
          <w:sz w:val="32"/>
          <w:szCs w:val="32"/>
          <w:lang w:eastAsia="zh-CN"/>
        </w:rPr>
        <w:t>，各类从业人员安全培训全覆盖</w:t>
      </w:r>
      <w:r>
        <w:rPr>
          <w:rFonts w:hint="eastAsia" w:ascii="仿宋_GB2312" w:hAnsi="仿宋_GB2312" w:eastAsia="仿宋_GB2312" w:cs="仿宋_GB2312"/>
          <w:color w:val="000000"/>
          <w:sz w:val="32"/>
          <w:szCs w:val="32"/>
        </w:rPr>
        <w:t>；一般生产经营岗位从业人员应培尽培</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重点岗位人员包括：动火作业、高处作业、有限空间作业、吊装作业、临时用电作业、破土作业、盲板抽堵、断路作业等八大高危作业、使用易燃爆危险化学品岗位、特种作业等人员。</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培训内容及方式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安全培训采用线上线下相结合的方式进行，线上培训以安全生产法律法规标准、基本知识、事故案例、工伤预防等通识性、警示性内容为主；线下培训以行业专业性互动研讨和实操性内容为主，针对不同行业企业和对象因材施教，实行差异化培训。特别要结合近几年工业企业多发易发的事故成因开展针对性和专业性知识培训，重点突出安全技能、安全素养和工伤预防意识及能力的提升，加强应急救援知识学习，提高一线从业人员的生产岗位应知应会、应急处置和逃生能力，保障从业人员生命安全和身体健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baseline"/>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各类生产经营单位从业人员（含派遣工、实习学生、农民工）首次参加安全培训，按照培训大纲和《浙江省企业百万员工安全大培训实施方案》培训标准执行，线下学习时间不少于培训总学时的50%，线上线下必须全部通过考试合格后，出具培训合格证明，完成培训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baseline"/>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各类生产经营单位从业人员再次培训以线上学习为主，生产加工型小微企业、危险性较高企业主要负责人、安全管理人员、重点岗位人员在线学习不少于12学时；高危行业企业等各类主要负责人、安全管理人员、从业人员在线学习不少于16学时，所有线上学习必须在“浙江省安全生产网络学院”平台上完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三、培训时间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baseline"/>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eastAsia="zh-CN"/>
        </w:rPr>
        <w:t>培训</w:t>
      </w:r>
      <w:r>
        <w:rPr>
          <w:rFonts w:hint="eastAsia" w:ascii="仿宋_GB2312" w:hAnsi="仿宋_GB2312" w:eastAsia="仿宋_GB2312" w:cs="仿宋_GB2312"/>
          <w:color w:val="000000"/>
          <w:sz w:val="32"/>
          <w:szCs w:val="32"/>
        </w:rPr>
        <w:t>总体时间从</w:t>
      </w:r>
      <w:r>
        <w:rPr>
          <w:rFonts w:hint="eastAsia" w:ascii="仿宋_GB2312" w:hAnsi="仿宋_GB2312" w:eastAsia="仿宋_GB2312" w:cs="仿宋_GB2312"/>
          <w:color w:val="000000"/>
          <w:sz w:val="32"/>
          <w:szCs w:val="32"/>
          <w:lang w:eastAsia="zh-CN"/>
        </w:rPr>
        <w:t>每年年初</w:t>
      </w:r>
      <w:r>
        <w:rPr>
          <w:rFonts w:hint="eastAsia" w:ascii="仿宋_GB2312" w:hAnsi="仿宋_GB2312" w:eastAsia="仿宋_GB2312" w:cs="仿宋_GB2312"/>
          <w:color w:val="000000"/>
          <w:sz w:val="32"/>
          <w:szCs w:val="32"/>
        </w:rPr>
        <w:t>开始，</w:t>
      </w:r>
      <w:r>
        <w:rPr>
          <w:rFonts w:hint="eastAsia" w:ascii="仿宋_GB2312" w:hAnsi="仿宋_GB2312" w:eastAsia="仿宋_GB2312" w:cs="仿宋_GB2312"/>
          <w:color w:val="000000"/>
          <w:kern w:val="2"/>
          <w:sz w:val="32"/>
          <w:szCs w:val="32"/>
          <w:lang w:val="en-US" w:eastAsia="zh-CN" w:bidi="ar-SA"/>
        </w:rPr>
        <w:t>至10月底前完成全年的培训任务。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微软雅黑" w:eastAsia="仿宋_GB2312" w:cs="仿宋_GB2312"/>
          <w:i w:val="0"/>
          <w:caps w:val="0"/>
          <w:color w:val="000000"/>
          <w:spacing w:val="0"/>
          <w:kern w:val="0"/>
          <w:sz w:val="31"/>
          <w:szCs w:val="31"/>
          <w:shd w:val="clear" w:color="auto" w:fill="FFFFFF"/>
          <w:lang w:val="en-US" w:eastAsia="zh-CN" w:bidi="ar"/>
        </w:rPr>
      </w:pPr>
      <w:r>
        <w:rPr>
          <w:rFonts w:hint="eastAsia" w:ascii="仿宋_GB2312" w:hAnsi="仿宋_GB2312" w:eastAsia="仿宋_GB2312" w:cs="仿宋_GB2312"/>
          <w:b/>
          <w:bCs/>
          <w:color w:val="000000"/>
          <w:sz w:val="32"/>
          <w:szCs w:val="32"/>
          <w:lang w:eastAsia="zh-CN"/>
        </w:rPr>
        <w:t>（一）务必</w:t>
      </w:r>
      <w:r>
        <w:rPr>
          <w:rStyle w:val="6"/>
          <w:rFonts w:ascii="仿宋_GB2312" w:hAnsi="微软雅黑" w:eastAsia="仿宋_GB2312" w:cs="仿宋_GB2312"/>
          <w:b/>
          <w:i w:val="0"/>
          <w:caps w:val="0"/>
          <w:color w:val="000000"/>
          <w:spacing w:val="0"/>
          <w:sz w:val="31"/>
          <w:szCs w:val="31"/>
          <w:shd w:val="clear" w:color="auto" w:fill="FFFFFF"/>
        </w:rPr>
        <w:t>高度重视。</w:t>
      </w:r>
      <w:r>
        <w:rPr>
          <w:rFonts w:hint="eastAsia" w:ascii="仿宋_GB2312" w:hAnsi="仿宋_GB2312" w:eastAsia="仿宋_GB2312" w:cs="仿宋_GB2312"/>
          <w:color w:val="000000"/>
          <w:sz w:val="32"/>
          <w:szCs w:val="32"/>
          <w:lang w:val="en-US" w:eastAsia="zh-CN"/>
        </w:rPr>
        <w:t>近年来，各行业各类事故频发，很多事故都是从业人员安全意识淡薄、应急技能不足、安全管理水平低所造成的。加强安全培训工作是提高从业人员安全意识和安全技术水平，强化生产经营单位安全生产基础的重要途径，是防止“三违”行为，不断减低事故总量，遏制较大以上事故的源头性、基础性举措。各企业要提高企业员工的安全意识、应急技能和企业管理水平，高度重视本次百万员工安全大培训工作，利用大培训的机会，提高一线从业人员的生产岗位应知应会、应急处置和逃生能力。</w:t>
      </w:r>
    </w:p>
    <w:p>
      <w:pPr>
        <w:keepNext w:val="0"/>
        <w:keepLines w:val="0"/>
        <w:pageBreakBefore w:val="0"/>
        <w:widowControl/>
        <w:kinsoku/>
        <w:wordWrap/>
        <w:overflowPunct/>
        <w:topLinePunct w:val="0"/>
        <w:autoSpaceDE/>
        <w:autoSpaceDN/>
        <w:bidi w:val="0"/>
        <w:adjustRightInd/>
        <w:snapToGrid/>
        <w:spacing w:line="580" w:lineRule="exact"/>
        <w:ind w:firstLine="622" w:firstLineChars="200"/>
        <w:jc w:val="both"/>
        <w:rPr>
          <w:rFonts w:hint="eastAsia" w:ascii="仿宋_GB2312" w:hAnsi="仿宋_GB2312" w:eastAsia="仿宋_GB2312" w:cs="仿宋_GB2312"/>
          <w:color w:val="FF0000"/>
          <w:sz w:val="32"/>
          <w:szCs w:val="32"/>
          <w:lang w:val="en-US" w:eastAsia="zh-CN"/>
        </w:rPr>
      </w:pPr>
      <w:r>
        <w:rPr>
          <w:rStyle w:val="6"/>
          <w:rFonts w:ascii="仿宋_GB2312" w:hAnsi="微软雅黑" w:eastAsia="仿宋_GB2312" w:cs="仿宋_GB2312"/>
          <w:b/>
          <w:i w:val="0"/>
          <w:caps w:val="0"/>
          <w:color w:val="auto"/>
          <w:spacing w:val="0"/>
          <w:sz w:val="31"/>
          <w:szCs w:val="31"/>
          <w:shd w:val="clear" w:color="auto" w:fill="FFFFFF"/>
        </w:rPr>
        <w:t>（</w:t>
      </w:r>
      <w:r>
        <w:rPr>
          <w:rStyle w:val="6"/>
          <w:rFonts w:hint="eastAsia" w:ascii="仿宋_GB2312" w:hAnsi="微软雅黑" w:eastAsia="仿宋_GB2312" w:cs="仿宋_GB2312"/>
          <w:b/>
          <w:i w:val="0"/>
          <w:caps w:val="0"/>
          <w:color w:val="auto"/>
          <w:spacing w:val="0"/>
          <w:sz w:val="31"/>
          <w:szCs w:val="31"/>
          <w:shd w:val="clear" w:color="auto" w:fill="FFFFFF"/>
          <w:lang w:eastAsia="zh-CN"/>
        </w:rPr>
        <w:t>二</w:t>
      </w:r>
      <w:r>
        <w:rPr>
          <w:rStyle w:val="6"/>
          <w:rFonts w:ascii="仿宋_GB2312" w:hAnsi="微软雅黑" w:eastAsia="仿宋_GB2312" w:cs="仿宋_GB2312"/>
          <w:b/>
          <w:i w:val="0"/>
          <w:caps w:val="0"/>
          <w:color w:val="auto"/>
          <w:spacing w:val="0"/>
          <w:sz w:val="31"/>
          <w:szCs w:val="31"/>
          <w:shd w:val="clear" w:color="auto" w:fill="FFFFFF"/>
        </w:rPr>
        <w:t>）</w:t>
      </w:r>
      <w:r>
        <w:rPr>
          <w:rStyle w:val="6"/>
          <w:rFonts w:hint="eastAsia" w:ascii="仿宋_GB2312" w:hAnsi="微软雅黑" w:eastAsia="仿宋_GB2312" w:cs="仿宋_GB2312"/>
          <w:b/>
          <w:i w:val="0"/>
          <w:caps w:val="0"/>
          <w:color w:val="auto"/>
          <w:spacing w:val="0"/>
          <w:sz w:val="31"/>
          <w:szCs w:val="31"/>
          <w:shd w:val="clear" w:color="auto" w:fill="FFFFFF"/>
          <w:lang w:eastAsia="zh-CN"/>
        </w:rPr>
        <w:t>按期</w:t>
      </w:r>
      <w:r>
        <w:rPr>
          <w:rStyle w:val="6"/>
          <w:rFonts w:ascii="仿宋_GB2312" w:hAnsi="微软雅黑" w:eastAsia="仿宋_GB2312" w:cs="仿宋_GB2312"/>
          <w:b/>
          <w:i w:val="0"/>
          <w:caps w:val="0"/>
          <w:color w:val="auto"/>
          <w:spacing w:val="0"/>
          <w:sz w:val="31"/>
          <w:szCs w:val="31"/>
          <w:shd w:val="clear" w:color="auto" w:fill="FFFFFF"/>
        </w:rPr>
        <w:t>完成</w:t>
      </w:r>
      <w:r>
        <w:rPr>
          <w:rStyle w:val="6"/>
          <w:rFonts w:hint="eastAsia" w:ascii="仿宋_GB2312" w:hAnsi="微软雅黑" w:eastAsia="仿宋_GB2312" w:cs="仿宋_GB2312"/>
          <w:b/>
          <w:i w:val="0"/>
          <w:caps w:val="0"/>
          <w:color w:val="auto"/>
          <w:spacing w:val="0"/>
          <w:sz w:val="31"/>
          <w:szCs w:val="31"/>
          <w:shd w:val="clear" w:color="auto" w:fill="FFFFFF"/>
          <w:lang w:eastAsia="zh-CN"/>
        </w:rPr>
        <w:t>任务</w:t>
      </w:r>
      <w:r>
        <w:rPr>
          <w:rStyle w:val="6"/>
          <w:rFonts w:ascii="仿宋_GB2312" w:hAnsi="微软雅黑" w:eastAsia="仿宋_GB2312" w:cs="仿宋_GB2312"/>
          <w:b/>
          <w:i w:val="0"/>
          <w:caps w:val="0"/>
          <w:color w:val="000000"/>
          <w:spacing w:val="0"/>
          <w:sz w:val="31"/>
          <w:szCs w:val="31"/>
          <w:shd w:val="clear" w:color="auto" w:fill="FFFFFF"/>
        </w:rPr>
        <w:t>。</w:t>
      </w:r>
      <w:r>
        <w:rPr>
          <w:rFonts w:hint="eastAsia" w:ascii="仿宋_GB2312" w:hAnsi="仿宋_GB2312" w:eastAsia="仿宋_GB2312" w:cs="仿宋_GB2312"/>
          <w:color w:val="000000"/>
          <w:sz w:val="32"/>
          <w:szCs w:val="32"/>
          <w:lang w:val="en-US" w:eastAsia="zh-CN"/>
        </w:rPr>
        <w:t>各企业要严格落实安全培训的主体责任，依法制定培训计划，在依法组织开展本单位全员安全培训工作的同时，积极组织从业人员参加属地政府或监管部门组织开展的安全技能提升培训，统筹安排好工作、时间，确保重点人员应培尽培，按时完成百万员工大培训任务。县应急管理局将定期公布和督促线上培训完成进度，确保各项工作顺利推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622" w:firstLineChars="200"/>
        <w:jc w:val="both"/>
        <w:textAlignment w:val="auto"/>
        <w:rPr>
          <w:rFonts w:hint="eastAsia" w:ascii="仿宋_GB2312" w:hAnsi="仿宋_GB2312" w:eastAsia="仿宋_GB2312" w:cs="仿宋_GB2312"/>
          <w:color w:val="000000"/>
          <w:sz w:val="32"/>
          <w:szCs w:val="32"/>
        </w:rPr>
      </w:pPr>
      <w:r>
        <w:rPr>
          <w:rStyle w:val="6"/>
          <w:rFonts w:hint="eastAsia" w:ascii="仿宋_GB2312" w:hAnsi="微软雅黑" w:eastAsia="仿宋_GB2312" w:cs="仿宋_GB2312"/>
          <w:b/>
          <w:i w:val="0"/>
          <w:caps w:val="0"/>
          <w:color w:val="000000"/>
          <w:spacing w:val="0"/>
          <w:sz w:val="31"/>
          <w:szCs w:val="31"/>
          <w:shd w:val="clear" w:color="auto" w:fill="FFFFFF"/>
        </w:rPr>
        <w:t>（</w:t>
      </w:r>
      <w:r>
        <w:rPr>
          <w:rStyle w:val="6"/>
          <w:rFonts w:hint="eastAsia" w:ascii="仿宋_GB2312" w:hAnsi="微软雅黑" w:eastAsia="仿宋_GB2312" w:cs="仿宋_GB2312"/>
          <w:b/>
          <w:i w:val="0"/>
          <w:caps w:val="0"/>
          <w:color w:val="000000"/>
          <w:spacing w:val="0"/>
          <w:sz w:val="31"/>
          <w:szCs w:val="31"/>
          <w:shd w:val="clear" w:color="auto" w:fill="FFFFFF"/>
          <w:lang w:eastAsia="zh-CN"/>
        </w:rPr>
        <w:t>三</w:t>
      </w:r>
      <w:r>
        <w:rPr>
          <w:rStyle w:val="6"/>
          <w:rFonts w:hint="eastAsia" w:ascii="仿宋_GB2312" w:hAnsi="微软雅黑" w:eastAsia="仿宋_GB2312" w:cs="仿宋_GB2312"/>
          <w:b/>
          <w:i w:val="0"/>
          <w:caps w:val="0"/>
          <w:color w:val="000000"/>
          <w:spacing w:val="0"/>
          <w:sz w:val="31"/>
          <w:szCs w:val="31"/>
          <w:shd w:val="clear" w:color="auto" w:fill="FFFFFF"/>
        </w:rPr>
        <w:t>）</w:t>
      </w:r>
      <w:r>
        <w:rPr>
          <w:rStyle w:val="6"/>
          <w:rFonts w:hint="eastAsia" w:ascii="仿宋_GB2312" w:hAnsi="微软雅黑" w:eastAsia="仿宋_GB2312" w:cs="仿宋_GB2312"/>
          <w:b/>
          <w:i w:val="0"/>
          <w:caps w:val="0"/>
          <w:color w:val="000000"/>
          <w:spacing w:val="0"/>
          <w:sz w:val="31"/>
          <w:szCs w:val="31"/>
          <w:shd w:val="clear" w:color="auto" w:fill="FFFFFF"/>
          <w:lang w:eastAsia="zh-CN"/>
        </w:rPr>
        <w:t>确保</w:t>
      </w:r>
      <w:r>
        <w:rPr>
          <w:rStyle w:val="6"/>
          <w:rFonts w:hint="eastAsia" w:ascii="仿宋_GB2312" w:hAnsi="微软雅黑" w:eastAsia="仿宋_GB2312" w:cs="仿宋_GB2312"/>
          <w:b/>
          <w:i w:val="0"/>
          <w:caps w:val="0"/>
          <w:color w:val="000000"/>
          <w:spacing w:val="0"/>
          <w:sz w:val="31"/>
          <w:szCs w:val="31"/>
          <w:shd w:val="clear" w:color="auto" w:fill="FFFFFF"/>
        </w:rPr>
        <w:t>培训成效。</w:t>
      </w:r>
      <w:r>
        <w:rPr>
          <w:rFonts w:hint="eastAsia" w:ascii="仿宋_GB2312" w:hAnsi="仿宋_GB2312" w:eastAsia="仿宋_GB2312" w:cs="仿宋_GB2312"/>
          <w:color w:val="000000"/>
          <w:sz w:val="32"/>
          <w:szCs w:val="32"/>
        </w:rPr>
        <w:t>各企业内培机构要牢固树立“培训不到位、制度不落实就是重大隐患”的理念，建立从业人员安全教育和培训“一人一档”</w:t>
      </w:r>
      <w:r>
        <w:rPr>
          <w:rFonts w:hint="eastAsia" w:ascii="仿宋_GB2312" w:hAnsi="仿宋_GB2312" w:eastAsia="仿宋_GB2312" w:cs="仿宋_GB2312"/>
          <w:color w:val="000000"/>
          <w:sz w:val="32"/>
          <w:szCs w:val="32"/>
          <w:lang w:eastAsia="zh-CN"/>
        </w:rPr>
        <w:t>及</w:t>
      </w:r>
      <w:r>
        <w:rPr>
          <w:rFonts w:hint="eastAsia" w:ascii="仿宋_GB2312" w:hAnsi="仿宋_GB2312" w:eastAsia="仿宋_GB2312" w:cs="仿宋_GB2312"/>
          <w:color w:val="000000"/>
          <w:sz w:val="32"/>
          <w:szCs w:val="32"/>
        </w:rPr>
        <w:t>培训信息公示、培训质量评估等制度</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聚焦易发生事故环节和领域、关键岗位和工艺，精准设置培训任务，精准实施定向培训；对开展特种作业培训的必须具备与所培训作业类别相适应的教学场地和实际操作实训条件，强化实物实操设备操作练习，全面规范培训管理，提升培训质量，确保培训成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（四）</w:t>
      </w:r>
      <w:r>
        <w:rPr>
          <w:rFonts w:hint="eastAsia" w:ascii="仿宋_GB2312" w:hAnsi="仿宋_GB2312" w:eastAsia="仿宋_GB2312" w:cs="仿宋_GB2312"/>
          <w:b/>
          <w:bCs/>
          <w:color w:val="000000"/>
          <w:sz w:val="32"/>
          <w:szCs w:val="32"/>
        </w:rPr>
        <w:t>强化执法检查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县</w:t>
      </w:r>
      <w:r>
        <w:rPr>
          <w:rFonts w:hint="eastAsia" w:ascii="仿宋_GB2312" w:hAnsi="仿宋_GB2312" w:eastAsia="仿宋_GB2312" w:cs="仿宋_GB2312"/>
          <w:color w:val="000000"/>
          <w:sz w:val="32"/>
          <w:szCs w:val="32"/>
        </w:rPr>
        <w:t>应急管理</w:t>
      </w:r>
      <w:r>
        <w:rPr>
          <w:rFonts w:hint="eastAsia" w:ascii="仿宋_GB2312" w:hAnsi="仿宋_GB2312" w:eastAsia="仿宋_GB2312" w:cs="仿宋_GB2312"/>
          <w:color w:val="000000"/>
          <w:sz w:val="32"/>
          <w:szCs w:val="32"/>
          <w:lang w:val="en-US" w:eastAsia="zh-CN"/>
        </w:rPr>
        <w:t>局将</w:t>
      </w:r>
      <w:r>
        <w:rPr>
          <w:rFonts w:hint="eastAsia" w:ascii="仿宋_GB2312" w:hAnsi="仿宋_GB2312" w:eastAsia="仿宋_GB2312" w:cs="仿宋_GB2312"/>
          <w:color w:val="000000"/>
          <w:sz w:val="32"/>
          <w:szCs w:val="32"/>
        </w:rPr>
        <w:t>加强对企业安全培训工作的监督检查，全面推进“逢查必考”、“逢查必核”制度 落实，即进企业检查，必须对主要负责人、安全生产管理人员、一线重点岗位人员安全生产应知应会知识和管理能力进行抽考；对持证上岗“三项岗位人员”进行核查，严厉打击无证、假证上岗。</w:t>
      </w:r>
      <w:r>
        <w:rPr>
          <w:rFonts w:hint="eastAsia" w:ascii="仿宋_GB2312" w:hAnsi="仿宋_GB2312" w:eastAsia="仿宋_GB2312" w:cs="仿宋_GB2312"/>
          <w:color w:val="000000"/>
          <w:sz w:val="32"/>
          <w:szCs w:val="32"/>
          <w:lang w:val="en-US" w:eastAsia="zh-CN"/>
        </w:rPr>
        <w:t>县应急管理局将</w:t>
      </w:r>
      <w:r>
        <w:rPr>
          <w:rFonts w:hint="eastAsia" w:ascii="仿宋_GB2312" w:hAnsi="仿宋_GB2312" w:eastAsia="仿宋_GB2312" w:cs="仿宋_GB2312"/>
          <w:color w:val="000000"/>
          <w:sz w:val="32"/>
          <w:szCs w:val="32"/>
        </w:rPr>
        <w:t>结合“双随机”执法检查，对安全培训机构、企业自行培训、安全培训考试点的人员配备、制度落实和培训成效进行监督检查，对发现违规违纪问题将根据相关规定严肃处罚。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BFA6D9"/>
    <w:multiLevelType w:val="singleLevel"/>
    <w:tmpl w:val="A9BFA6D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GVkN2FlMWNlNDQwOTQwOGMzYmU0OTNhYzM3OWMifQ=="/>
  </w:docVars>
  <w:rsids>
    <w:rsidRoot w:val="32C82547"/>
    <w:rsid w:val="32C82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2024-03-20T01:08:00Z</dcterms:created>
  <dc:creator>吕珍</dc:creator>
  <cp:lastModifiedBy>吕珍</cp:lastModifiedBy>
  <dcterms:modified xsi:type="dcterms:W3CDTF">2024-03-20T01:08:53Z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261F4069EFE3434E92B4B9D9B8FEC694_11</vt:lpwstr>
  </property>
</Properties>
</file>