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华文仿宋" w:hAnsi="华文仿宋" w:eastAsia="华文仿宋" w:cs="Calibri"/>
          <w:b/>
          <w:color w:val="000000"/>
          <w:kern w:val="0"/>
          <w:sz w:val="44"/>
          <w:szCs w:val="44"/>
        </w:rPr>
      </w:pPr>
      <w:bookmarkStart w:id="0" w:name="F01"/>
      <w:r>
        <w:rPr>
          <w:rFonts w:hint="eastAsia" w:ascii="华文仿宋" w:hAnsi="华文仿宋" w:eastAsia="华文仿宋" w:cs="Calibri"/>
          <w:b/>
          <w:color w:val="000000"/>
          <w:kern w:val="0"/>
          <w:sz w:val="44"/>
          <w:szCs w:val="44"/>
        </w:rPr>
        <w:t>遂昌县市场监督管理局2020年度部门决算</w:t>
      </w:r>
      <w:bookmarkEnd w:id="0"/>
    </w:p>
    <w:sdt>
      <w:sdtPr>
        <w:rPr>
          <w:rFonts w:ascii="宋体" w:hAnsi="宋体" w:eastAsia="宋体" w:cstheme="minorBidi"/>
          <w:b/>
          <w:bCs/>
          <w:kern w:val="2"/>
          <w:sz w:val="32"/>
          <w:szCs w:val="32"/>
          <w:lang w:val="en-US" w:eastAsia="zh-CN" w:bidi="ar-SA"/>
        </w:rPr>
        <w:id w:val="147467573"/>
        <w15:color w:val="DBDBDB"/>
        <w:docPartObj>
          <w:docPartGallery w:val="Table of Contents"/>
          <w:docPartUnique/>
        </w:docPartObj>
      </w:sdtPr>
      <w:sdtEndPr>
        <w:rPr>
          <w:rFonts w:ascii="宋体" w:hAnsi="宋体" w:eastAsia="宋体" w:cstheme="minorBidi"/>
          <w:b/>
          <w:bCs/>
          <w:kern w:val="2"/>
          <w:sz w:val="36"/>
          <w:szCs w:val="36"/>
          <w:lang w:val="en-US" w:eastAsia="zh-CN" w:bidi="ar-SA"/>
        </w:rPr>
      </w:sdtEndPr>
      <w:sdtContent>
        <w:p>
          <w:pPr>
            <w:spacing w:before="0" w:beforeLines="0" w:after="0" w:afterLines="0" w:line="240" w:lineRule="auto"/>
            <w:ind w:left="0" w:leftChars="0" w:right="0" w:rightChars="0" w:firstLine="0" w:firstLineChars="0"/>
            <w:jc w:val="center"/>
            <w:rPr>
              <w:b/>
              <w:bCs/>
              <w:sz w:val="32"/>
              <w:szCs w:val="32"/>
            </w:rPr>
          </w:pPr>
          <w:r>
            <w:rPr>
              <w:rFonts w:ascii="宋体" w:hAnsi="宋体" w:eastAsia="宋体"/>
              <w:b/>
              <w:bCs/>
              <w:sz w:val="32"/>
              <w:szCs w:val="32"/>
            </w:rPr>
            <w:t>目</w:t>
          </w:r>
          <w:r>
            <w:rPr>
              <w:rFonts w:hint="eastAsia" w:ascii="宋体" w:hAnsi="宋体" w:eastAsia="宋体"/>
              <w:b/>
              <w:bCs/>
              <w:sz w:val="32"/>
              <w:szCs w:val="32"/>
              <w:lang w:val="en-US" w:eastAsia="zh-CN"/>
            </w:rPr>
            <w:t xml:space="preserve"> </w:t>
          </w:r>
          <w:r>
            <w:rPr>
              <w:rFonts w:ascii="宋体" w:hAnsi="宋体" w:eastAsia="宋体"/>
              <w:b/>
              <w:bCs/>
              <w:sz w:val="32"/>
              <w:szCs w:val="32"/>
            </w:rPr>
            <w:t>录</w:t>
          </w:r>
        </w:p>
        <w:p>
          <w:pPr>
            <w:pStyle w:val="28"/>
            <w:tabs>
              <w:tab w:val="right" w:leader="dot" w:pos="9184"/>
            </w:tabs>
            <w:rPr>
              <w:rFonts w:hint="eastAsia" w:ascii="华文仿宋" w:hAnsi="华文仿宋" w:eastAsia="华文仿宋" w:cs="华文仿宋"/>
              <w:b w:val="0"/>
              <w:bCs/>
              <w:sz w:val="30"/>
              <w:szCs w:val="30"/>
            </w:rPr>
          </w:pPr>
          <w:r>
            <w:fldChar w:fldCharType="begin"/>
          </w:r>
          <w:r>
            <w:instrText xml:space="preserve">TOC \o "1-2" \h \u </w:instrText>
          </w:r>
          <w:r>
            <w:fldChar w:fldCharType="separate"/>
          </w:r>
          <w:r>
            <w:rPr>
              <w:rFonts w:hint="eastAsia" w:ascii="华文仿宋" w:hAnsi="华文仿宋" w:eastAsia="华文仿宋" w:cs="华文仿宋"/>
              <w:b w:val="0"/>
              <w:bCs/>
              <w:sz w:val="30"/>
              <w:szCs w:val="30"/>
            </w:rPr>
            <w:fldChar w:fldCharType="begin"/>
          </w:r>
          <w:r>
            <w:rPr>
              <w:rFonts w:hint="eastAsia" w:ascii="华文仿宋" w:hAnsi="华文仿宋" w:eastAsia="华文仿宋" w:cs="华文仿宋"/>
              <w:b w:val="0"/>
              <w:bCs/>
              <w:sz w:val="30"/>
              <w:szCs w:val="30"/>
            </w:rPr>
            <w:instrText xml:space="preserve"> HYPERLINK \l _Toc14343 </w:instrText>
          </w:r>
          <w:r>
            <w:rPr>
              <w:rFonts w:hint="eastAsia" w:ascii="华文仿宋" w:hAnsi="华文仿宋" w:eastAsia="华文仿宋" w:cs="华文仿宋"/>
              <w:b w:val="0"/>
              <w:bCs/>
              <w:sz w:val="30"/>
              <w:szCs w:val="30"/>
            </w:rPr>
            <w:fldChar w:fldCharType="separate"/>
          </w:r>
          <w:r>
            <w:rPr>
              <w:rFonts w:hint="eastAsia" w:ascii="华文仿宋" w:hAnsi="华文仿宋" w:eastAsia="华文仿宋" w:cs="华文仿宋"/>
              <w:b w:val="0"/>
              <w:bCs/>
              <w:sz w:val="30"/>
              <w:szCs w:val="30"/>
            </w:rPr>
            <w:t>一、遂昌县市场监督管理局概况</w:t>
          </w:r>
          <w:r>
            <w:rPr>
              <w:rFonts w:hint="eastAsia" w:ascii="华文仿宋" w:hAnsi="华文仿宋" w:eastAsia="华文仿宋" w:cs="华文仿宋"/>
              <w:b w:val="0"/>
              <w:bCs/>
              <w:sz w:val="30"/>
              <w:szCs w:val="30"/>
            </w:rPr>
            <w:tab/>
          </w:r>
          <w:r>
            <w:rPr>
              <w:rFonts w:hint="eastAsia" w:ascii="华文仿宋" w:hAnsi="华文仿宋" w:eastAsia="华文仿宋" w:cs="华文仿宋"/>
              <w:b w:val="0"/>
              <w:bCs/>
              <w:sz w:val="30"/>
              <w:szCs w:val="30"/>
            </w:rPr>
            <w:fldChar w:fldCharType="begin"/>
          </w:r>
          <w:r>
            <w:rPr>
              <w:rFonts w:hint="eastAsia" w:ascii="华文仿宋" w:hAnsi="华文仿宋" w:eastAsia="华文仿宋" w:cs="华文仿宋"/>
              <w:b w:val="0"/>
              <w:bCs/>
              <w:sz w:val="30"/>
              <w:szCs w:val="30"/>
            </w:rPr>
            <w:instrText xml:space="preserve"> PAGEREF _Toc14343 \h </w:instrText>
          </w:r>
          <w:r>
            <w:rPr>
              <w:rFonts w:hint="eastAsia" w:ascii="华文仿宋" w:hAnsi="华文仿宋" w:eastAsia="华文仿宋" w:cs="华文仿宋"/>
              <w:b w:val="0"/>
              <w:bCs/>
              <w:sz w:val="30"/>
              <w:szCs w:val="30"/>
            </w:rPr>
            <w:fldChar w:fldCharType="separate"/>
          </w:r>
          <w:r>
            <w:rPr>
              <w:rFonts w:hint="eastAsia" w:ascii="华文仿宋" w:hAnsi="华文仿宋" w:eastAsia="华文仿宋" w:cs="华文仿宋"/>
              <w:b w:val="0"/>
              <w:bCs/>
              <w:sz w:val="30"/>
              <w:szCs w:val="30"/>
            </w:rPr>
            <w:t>1</w:t>
          </w:r>
          <w:r>
            <w:rPr>
              <w:rFonts w:hint="eastAsia" w:ascii="华文仿宋" w:hAnsi="华文仿宋" w:eastAsia="华文仿宋" w:cs="华文仿宋"/>
              <w:b w:val="0"/>
              <w:bCs/>
              <w:sz w:val="30"/>
              <w:szCs w:val="30"/>
            </w:rPr>
            <w:fldChar w:fldCharType="end"/>
          </w:r>
          <w:r>
            <w:rPr>
              <w:rFonts w:hint="eastAsia" w:ascii="华文仿宋" w:hAnsi="华文仿宋" w:eastAsia="华文仿宋" w:cs="华文仿宋"/>
              <w:b w:val="0"/>
              <w:bCs/>
              <w:sz w:val="30"/>
              <w:szCs w:val="30"/>
            </w:rPr>
            <w:fldChar w:fldCharType="end"/>
          </w:r>
        </w:p>
        <w:p>
          <w:pPr>
            <w:pStyle w:val="29"/>
            <w:tabs>
              <w:tab w:val="right" w:leader="dot" w:pos="9184"/>
            </w:tabs>
            <w:rPr>
              <w:rFonts w:hint="eastAsia" w:ascii="华文仿宋" w:hAnsi="华文仿宋" w:eastAsia="华文仿宋" w:cs="华文仿宋"/>
              <w:b w:val="0"/>
              <w:bCs/>
              <w:sz w:val="30"/>
              <w:szCs w:val="30"/>
            </w:rPr>
          </w:pPr>
          <w:r>
            <w:rPr>
              <w:rFonts w:hint="eastAsia" w:ascii="华文仿宋" w:hAnsi="华文仿宋" w:eastAsia="华文仿宋" w:cs="华文仿宋"/>
              <w:b w:val="0"/>
              <w:bCs/>
              <w:sz w:val="30"/>
              <w:szCs w:val="30"/>
            </w:rPr>
            <w:fldChar w:fldCharType="begin"/>
          </w:r>
          <w:r>
            <w:rPr>
              <w:rFonts w:hint="eastAsia" w:ascii="华文仿宋" w:hAnsi="华文仿宋" w:eastAsia="华文仿宋" w:cs="华文仿宋"/>
              <w:b w:val="0"/>
              <w:bCs/>
              <w:sz w:val="30"/>
              <w:szCs w:val="30"/>
            </w:rPr>
            <w:instrText xml:space="preserve"> HYPERLINK \l _Toc20125 </w:instrText>
          </w:r>
          <w:r>
            <w:rPr>
              <w:rFonts w:hint="eastAsia" w:ascii="华文仿宋" w:hAnsi="华文仿宋" w:eastAsia="华文仿宋" w:cs="华文仿宋"/>
              <w:b w:val="0"/>
              <w:bCs/>
              <w:sz w:val="30"/>
              <w:szCs w:val="30"/>
            </w:rPr>
            <w:fldChar w:fldCharType="separate"/>
          </w:r>
          <w:r>
            <w:rPr>
              <w:rFonts w:hint="eastAsia" w:ascii="华文仿宋" w:hAnsi="华文仿宋" w:eastAsia="华文仿宋" w:cs="华文仿宋"/>
              <w:b w:val="0"/>
              <w:bCs/>
              <w:sz w:val="30"/>
              <w:szCs w:val="30"/>
            </w:rPr>
            <w:t>（一）部门职责</w:t>
          </w:r>
          <w:r>
            <w:rPr>
              <w:rFonts w:hint="eastAsia" w:ascii="华文仿宋" w:hAnsi="华文仿宋" w:eastAsia="华文仿宋" w:cs="华文仿宋"/>
              <w:b w:val="0"/>
              <w:bCs/>
              <w:sz w:val="30"/>
              <w:szCs w:val="30"/>
            </w:rPr>
            <w:tab/>
          </w:r>
          <w:r>
            <w:rPr>
              <w:rFonts w:hint="eastAsia" w:ascii="华文仿宋" w:hAnsi="华文仿宋" w:eastAsia="华文仿宋" w:cs="华文仿宋"/>
              <w:b w:val="0"/>
              <w:bCs/>
              <w:sz w:val="30"/>
              <w:szCs w:val="30"/>
            </w:rPr>
            <w:fldChar w:fldCharType="begin"/>
          </w:r>
          <w:r>
            <w:rPr>
              <w:rFonts w:hint="eastAsia" w:ascii="华文仿宋" w:hAnsi="华文仿宋" w:eastAsia="华文仿宋" w:cs="华文仿宋"/>
              <w:b w:val="0"/>
              <w:bCs/>
              <w:sz w:val="30"/>
              <w:szCs w:val="30"/>
            </w:rPr>
            <w:instrText xml:space="preserve"> PAGEREF _Toc20125 \h </w:instrText>
          </w:r>
          <w:r>
            <w:rPr>
              <w:rFonts w:hint="eastAsia" w:ascii="华文仿宋" w:hAnsi="华文仿宋" w:eastAsia="华文仿宋" w:cs="华文仿宋"/>
              <w:b w:val="0"/>
              <w:bCs/>
              <w:sz w:val="30"/>
              <w:szCs w:val="30"/>
            </w:rPr>
            <w:fldChar w:fldCharType="separate"/>
          </w:r>
          <w:r>
            <w:rPr>
              <w:rFonts w:hint="eastAsia" w:ascii="华文仿宋" w:hAnsi="华文仿宋" w:eastAsia="华文仿宋" w:cs="华文仿宋"/>
              <w:b w:val="0"/>
              <w:bCs/>
              <w:sz w:val="30"/>
              <w:szCs w:val="30"/>
            </w:rPr>
            <w:t>1</w:t>
          </w:r>
          <w:r>
            <w:rPr>
              <w:rFonts w:hint="eastAsia" w:ascii="华文仿宋" w:hAnsi="华文仿宋" w:eastAsia="华文仿宋" w:cs="华文仿宋"/>
              <w:b w:val="0"/>
              <w:bCs/>
              <w:sz w:val="30"/>
              <w:szCs w:val="30"/>
            </w:rPr>
            <w:fldChar w:fldCharType="end"/>
          </w:r>
          <w:r>
            <w:rPr>
              <w:rFonts w:hint="eastAsia" w:ascii="华文仿宋" w:hAnsi="华文仿宋" w:eastAsia="华文仿宋" w:cs="华文仿宋"/>
              <w:b w:val="0"/>
              <w:bCs/>
              <w:sz w:val="30"/>
              <w:szCs w:val="30"/>
            </w:rPr>
            <w:fldChar w:fldCharType="end"/>
          </w:r>
        </w:p>
        <w:p>
          <w:pPr>
            <w:pStyle w:val="29"/>
            <w:tabs>
              <w:tab w:val="right" w:leader="dot" w:pos="9184"/>
            </w:tabs>
            <w:rPr>
              <w:rFonts w:hint="eastAsia" w:ascii="华文仿宋" w:hAnsi="华文仿宋" w:eastAsia="华文仿宋" w:cs="华文仿宋"/>
              <w:b w:val="0"/>
              <w:bCs/>
              <w:sz w:val="30"/>
              <w:szCs w:val="30"/>
            </w:rPr>
          </w:pPr>
          <w:r>
            <w:rPr>
              <w:rFonts w:hint="eastAsia" w:ascii="华文仿宋" w:hAnsi="华文仿宋" w:eastAsia="华文仿宋" w:cs="华文仿宋"/>
              <w:b w:val="0"/>
              <w:bCs/>
              <w:sz w:val="30"/>
              <w:szCs w:val="30"/>
            </w:rPr>
            <w:fldChar w:fldCharType="begin"/>
          </w:r>
          <w:r>
            <w:rPr>
              <w:rFonts w:hint="eastAsia" w:ascii="华文仿宋" w:hAnsi="华文仿宋" w:eastAsia="华文仿宋" w:cs="华文仿宋"/>
              <w:b w:val="0"/>
              <w:bCs/>
              <w:sz w:val="30"/>
              <w:szCs w:val="30"/>
            </w:rPr>
            <w:instrText xml:space="preserve"> HYPERLINK \l _Toc23197 </w:instrText>
          </w:r>
          <w:r>
            <w:rPr>
              <w:rFonts w:hint="eastAsia" w:ascii="华文仿宋" w:hAnsi="华文仿宋" w:eastAsia="华文仿宋" w:cs="华文仿宋"/>
              <w:b w:val="0"/>
              <w:bCs/>
              <w:sz w:val="30"/>
              <w:szCs w:val="30"/>
            </w:rPr>
            <w:fldChar w:fldCharType="separate"/>
          </w:r>
          <w:r>
            <w:rPr>
              <w:rFonts w:hint="eastAsia" w:ascii="华文仿宋" w:hAnsi="华文仿宋" w:eastAsia="华文仿宋" w:cs="华文仿宋"/>
              <w:b w:val="0"/>
              <w:bCs/>
              <w:sz w:val="30"/>
              <w:szCs w:val="30"/>
            </w:rPr>
            <w:t>（二）机构设置</w:t>
          </w:r>
          <w:r>
            <w:rPr>
              <w:rFonts w:hint="eastAsia" w:ascii="华文仿宋" w:hAnsi="华文仿宋" w:eastAsia="华文仿宋" w:cs="华文仿宋"/>
              <w:b w:val="0"/>
              <w:bCs/>
              <w:sz w:val="30"/>
              <w:szCs w:val="30"/>
            </w:rPr>
            <w:tab/>
          </w:r>
          <w:bookmarkStart w:id="20" w:name="_GoBack"/>
          <w:bookmarkEnd w:id="20"/>
          <w:r>
            <w:rPr>
              <w:rFonts w:hint="eastAsia" w:ascii="华文仿宋" w:hAnsi="华文仿宋" w:eastAsia="华文仿宋" w:cs="华文仿宋"/>
              <w:b w:val="0"/>
              <w:bCs/>
              <w:sz w:val="30"/>
              <w:szCs w:val="30"/>
            </w:rPr>
            <w:fldChar w:fldCharType="begin"/>
          </w:r>
          <w:r>
            <w:rPr>
              <w:rFonts w:hint="eastAsia" w:ascii="华文仿宋" w:hAnsi="华文仿宋" w:eastAsia="华文仿宋" w:cs="华文仿宋"/>
              <w:b w:val="0"/>
              <w:bCs/>
              <w:sz w:val="30"/>
              <w:szCs w:val="30"/>
            </w:rPr>
            <w:instrText xml:space="preserve"> PAGEREF _Toc23197 \h </w:instrText>
          </w:r>
          <w:r>
            <w:rPr>
              <w:rFonts w:hint="eastAsia" w:ascii="华文仿宋" w:hAnsi="华文仿宋" w:eastAsia="华文仿宋" w:cs="华文仿宋"/>
              <w:b w:val="0"/>
              <w:bCs/>
              <w:sz w:val="30"/>
              <w:szCs w:val="30"/>
            </w:rPr>
            <w:fldChar w:fldCharType="separate"/>
          </w:r>
          <w:r>
            <w:rPr>
              <w:rFonts w:hint="eastAsia" w:ascii="华文仿宋" w:hAnsi="华文仿宋" w:eastAsia="华文仿宋" w:cs="华文仿宋"/>
              <w:b w:val="0"/>
              <w:bCs/>
              <w:sz w:val="30"/>
              <w:szCs w:val="30"/>
            </w:rPr>
            <w:t>5</w:t>
          </w:r>
          <w:r>
            <w:rPr>
              <w:rFonts w:hint="eastAsia" w:ascii="华文仿宋" w:hAnsi="华文仿宋" w:eastAsia="华文仿宋" w:cs="华文仿宋"/>
              <w:b w:val="0"/>
              <w:bCs/>
              <w:sz w:val="30"/>
              <w:szCs w:val="30"/>
            </w:rPr>
            <w:fldChar w:fldCharType="end"/>
          </w:r>
          <w:r>
            <w:rPr>
              <w:rFonts w:hint="eastAsia" w:ascii="华文仿宋" w:hAnsi="华文仿宋" w:eastAsia="华文仿宋" w:cs="华文仿宋"/>
              <w:b w:val="0"/>
              <w:bCs/>
              <w:sz w:val="30"/>
              <w:szCs w:val="30"/>
            </w:rPr>
            <w:fldChar w:fldCharType="end"/>
          </w:r>
        </w:p>
        <w:p>
          <w:pPr>
            <w:pStyle w:val="28"/>
            <w:tabs>
              <w:tab w:val="right" w:leader="dot" w:pos="9184"/>
            </w:tabs>
            <w:rPr>
              <w:rFonts w:hint="eastAsia" w:ascii="华文仿宋" w:hAnsi="华文仿宋" w:eastAsia="华文仿宋" w:cs="华文仿宋"/>
              <w:b w:val="0"/>
              <w:bCs/>
              <w:sz w:val="30"/>
              <w:szCs w:val="30"/>
            </w:rPr>
          </w:pPr>
          <w:r>
            <w:rPr>
              <w:rFonts w:hint="eastAsia" w:ascii="华文仿宋" w:hAnsi="华文仿宋" w:eastAsia="华文仿宋" w:cs="华文仿宋"/>
              <w:b w:val="0"/>
              <w:bCs/>
              <w:sz w:val="30"/>
              <w:szCs w:val="30"/>
            </w:rPr>
            <w:fldChar w:fldCharType="begin"/>
          </w:r>
          <w:r>
            <w:rPr>
              <w:rFonts w:hint="eastAsia" w:ascii="华文仿宋" w:hAnsi="华文仿宋" w:eastAsia="华文仿宋" w:cs="华文仿宋"/>
              <w:b w:val="0"/>
              <w:bCs/>
              <w:sz w:val="30"/>
              <w:szCs w:val="30"/>
            </w:rPr>
            <w:instrText xml:space="preserve"> HYPERLINK \l _Toc903 </w:instrText>
          </w:r>
          <w:r>
            <w:rPr>
              <w:rFonts w:hint="eastAsia" w:ascii="华文仿宋" w:hAnsi="华文仿宋" w:eastAsia="华文仿宋" w:cs="华文仿宋"/>
              <w:b w:val="0"/>
              <w:bCs/>
              <w:sz w:val="30"/>
              <w:szCs w:val="30"/>
            </w:rPr>
            <w:fldChar w:fldCharType="separate"/>
          </w:r>
          <w:r>
            <w:rPr>
              <w:rFonts w:hint="eastAsia" w:ascii="华文仿宋" w:hAnsi="华文仿宋" w:eastAsia="华文仿宋" w:cs="华文仿宋"/>
              <w:b w:val="0"/>
              <w:bCs/>
              <w:sz w:val="30"/>
              <w:szCs w:val="30"/>
            </w:rPr>
            <w:t>二、遂昌县市场监督管理局2020年度部门决算公开表</w:t>
          </w:r>
          <w:r>
            <w:rPr>
              <w:rFonts w:hint="eastAsia" w:ascii="华文仿宋" w:hAnsi="华文仿宋" w:eastAsia="华文仿宋" w:cs="华文仿宋"/>
              <w:b w:val="0"/>
              <w:bCs/>
              <w:sz w:val="30"/>
              <w:szCs w:val="30"/>
            </w:rPr>
            <w:tab/>
          </w:r>
          <w:r>
            <w:rPr>
              <w:rFonts w:hint="eastAsia" w:ascii="华文仿宋" w:hAnsi="华文仿宋" w:eastAsia="华文仿宋" w:cs="华文仿宋"/>
              <w:b w:val="0"/>
              <w:bCs/>
              <w:sz w:val="30"/>
              <w:szCs w:val="30"/>
            </w:rPr>
            <w:fldChar w:fldCharType="begin"/>
          </w:r>
          <w:r>
            <w:rPr>
              <w:rFonts w:hint="eastAsia" w:ascii="华文仿宋" w:hAnsi="华文仿宋" w:eastAsia="华文仿宋" w:cs="华文仿宋"/>
              <w:b w:val="0"/>
              <w:bCs/>
              <w:sz w:val="30"/>
              <w:szCs w:val="30"/>
            </w:rPr>
            <w:instrText xml:space="preserve"> PAGEREF _Toc903 \h </w:instrText>
          </w:r>
          <w:r>
            <w:rPr>
              <w:rFonts w:hint="eastAsia" w:ascii="华文仿宋" w:hAnsi="华文仿宋" w:eastAsia="华文仿宋" w:cs="华文仿宋"/>
              <w:b w:val="0"/>
              <w:bCs/>
              <w:sz w:val="30"/>
              <w:szCs w:val="30"/>
            </w:rPr>
            <w:fldChar w:fldCharType="separate"/>
          </w:r>
          <w:r>
            <w:rPr>
              <w:rFonts w:hint="eastAsia" w:ascii="华文仿宋" w:hAnsi="华文仿宋" w:eastAsia="华文仿宋" w:cs="华文仿宋"/>
              <w:b w:val="0"/>
              <w:bCs/>
              <w:sz w:val="30"/>
              <w:szCs w:val="30"/>
            </w:rPr>
            <w:t>5</w:t>
          </w:r>
          <w:r>
            <w:rPr>
              <w:rFonts w:hint="eastAsia" w:ascii="华文仿宋" w:hAnsi="华文仿宋" w:eastAsia="华文仿宋" w:cs="华文仿宋"/>
              <w:b w:val="0"/>
              <w:bCs/>
              <w:sz w:val="30"/>
              <w:szCs w:val="30"/>
            </w:rPr>
            <w:fldChar w:fldCharType="end"/>
          </w:r>
          <w:r>
            <w:rPr>
              <w:rFonts w:hint="eastAsia" w:ascii="华文仿宋" w:hAnsi="华文仿宋" w:eastAsia="华文仿宋" w:cs="华文仿宋"/>
              <w:b w:val="0"/>
              <w:bCs/>
              <w:sz w:val="30"/>
              <w:szCs w:val="30"/>
            </w:rPr>
            <w:fldChar w:fldCharType="end"/>
          </w:r>
        </w:p>
        <w:p>
          <w:pPr>
            <w:pStyle w:val="28"/>
            <w:tabs>
              <w:tab w:val="right" w:leader="dot" w:pos="9184"/>
            </w:tabs>
            <w:rPr>
              <w:rFonts w:hint="eastAsia" w:ascii="华文仿宋" w:hAnsi="华文仿宋" w:eastAsia="华文仿宋" w:cs="华文仿宋"/>
              <w:b w:val="0"/>
              <w:bCs/>
              <w:sz w:val="30"/>
              <w:szCs w:val="30"/>
            </w:rPr>
          </w:pPr>
          <w:r>
            <w:rPr>
              <w:rFonts w:hint="eastAsia" w:ascii="华文仿宋" w:hAnsi="华文仿宋" w:eastAsia="华文仿宋" w:cs="华文仿宋"/>
              <w:b w:val="0"/>
              <w:bCs/>
              <w:sz w:val="30"/>
              <w:szCs w:val="30"/>
            </w:rPr>
            <w:fldChar w:fldCharType="begin"/>
          </w:r>
          <w:r>
            <w:rPr>
              <w:rFonts w:hint="eastAsia" w:ascii="华文仿宋" w:hAnsi="华文仿宋" w:eastAsia="华文仿宋" w:cs="华文仿宋"/>
              <w:b w:val="0"/>
              <w:bCs/>
              <w:sz w:val="30"/>
              <w:szCs w:val="30"/>
            </w:rPr>
            <w:instrText xml:space="preserve"> HYPERLINK \l _Toc11637 </w:instrText>
          </w:r>
          <w:r>
            <w:rPr>
              <w:rFonts w:hint="eastAsia" w:ascii="华文仿宋" w:hAnsi="华文仿宋" w:eastAsia="华文仿宋" w:cs="华文仿宋"/>
              <w:b w:val="0"/>
              <w:bCs/>
              <w:sz w:val="30"/>
              <w:szCs w:val="30"/>
            </w:rPr>
            <w:fldChar w:fldCharType="separate"/>
          </w:r>
          <w:r>
            <w:rPr>
              <w:rFonts w:hint="eastAsia" w:ascii="华文仿宋" w:hAnsi="华文仿宋" w:eastAsia="华文仿宋" w:cs="华文仿宋"/>
              <w:b w:val="0"/>
              <w:bCs/>
              <w:sz w:val="30"/>
              <w:szCs w:val="30"/>
            </w:rPr>
            <w:t>三、遂昌县市场监督管理局2020年度部门决算情况说明</w:t>
          </w:r>
          <w:r>
            <w:rPr>
              <w:rFonts w:hint="eastAsia" w:ascii="华文仿宋" w:hAnsi="华文仿宋" w:eastAsia="华文仿宋" w:cs="华文仿宋"/>
              <w:b w:val="0"/>
              <w:bCs/>
              <w:sz w:val="30"/>
              <w:szCs w:val="30"/>
            </w:rPr>
            <w:tab/>
          </w:r>
          <w:r>
            <w:rPr>
              <w:rFonts w:hint="eastAsia" w:ascii="华文仿宋" w:hAnsi="华文仿宋" w:eastAsia="华文仿宋" w:cs="华文仿宋"/>
              <w:b w:val="0"/>
              <w:bCs/>
              <w:sz w:val="30"/>
              <w:szCs w:val="30"/>
            </w:rPr>
            <w:fldChar w:fldCharType="begin"/>
          </w:r>
          <w:r>
            <w:rPr>
              <w:rFonts w:hint="eastAsia" w:ascii="华文仿宋" w:hAnsi="华文仿宋" w:eastAsia="华文仿宋" w:cs="华文仿宋"/>
              <w:b w:val="0"/>
              <w:bCs/>
              <w:sz w:val="30"/>
              <w:szCs w:val="30"/>
            </w:rPr>
            <w:instrText xml:space="preserve"> PAGEREF _Toc11637 \h </w:instrText>
          </w:r>
          <w:r>
            <w:rPr>
              <w:rFonts w:hint="eastAsia" w:ascii="华文仿宋" w:hAnsi="华文仿宋" w:eastAsia="华文仿宋" w:cs="华文仿宋"/>
              <w:b w:val="0"/>
              <w:bCs/>
              <w:sz w:val="30"/>
              <w:szCs w:val="30"/>
            </w:rPr>
            <w:fldChar w:fldCharType="separate"/>
          </w:r>
          <w:r>
            <w:rPr>
              <w:rFonts w:hint="eastAsia" w:ascii="华文仿宋" w:hAnsi="华文仿宋" w:eastAsia="华文仿宋" w:cs="华文仿宋"/>
              <w:b w:val="0"/>
              <w:bCs/>
              <w:sz w:val="30"/>
              <w:szCs w:val="30"/>
            </w:rPr>
            <w:t>5</w:t>
          </w:r>
          <w:r>
            <w:rPr>
              <w:rFonts w:hint="eastAsia" w:ascii="华文仿宋" w:hAnsi="华文仿宋" w:eastAsia="华文仿宋" w:cs="华文仿宋"/>
              <w:b w:val="0"/>
              <w:bCs/>
              <w:sz w:val="30"/>
              <w:szCs w:val="30"/>
            </w:rPr>
            <w:fldChar w:fldCharType="end"/>
          </w:r>
          <w:r>
            <w:rPr>
              <w:rFonts w:hint="eastAsia" w:ascii="华文仿宋" w:hAnsi="华文仿宋" w:eastAsia="华文仿宋" w:cs="华文仿宋"/>
              <w:b w:val="0"/>
              <w:bCs/>
              <w:sz w:val="30"/>
              <w:szCs w:val="30"/>
            </w:rPr>
            <w:fldChar w:fldCharType="end"/>
          </w:r>
        </w:p>
        <w:p>
          <w:pPr>
            <w:pStyle w:val="29"/>
            <w:tabs>
              <w:tab w:val="right" w:leader="dot" w:pos="9184"/>
            </w:tabs>
            <w:rPr>
              <w:rFonts w:hint="eastAsia" w:ascii="华文仿宋" w:hAnsi="华文仿宋" w:eastAsia="华文仿宋" w:cs="华文仿宋"/>
              <w:b w:val="0"/>
              <w:bCs/>
              <w:sz w:val="30"/>
              <w:szCs w:val="30"/>
            </w:rPr>
          </w:pPr>
          <w:r>
            <w:rPr>
              <w:rFonts w:hint="eastAsia" w:ascii="华文仿宋" w:hAnsi="华文仿宋" w:eastAsia="华文仿宋" w:cs="华文仿宋"/>
              <w:b w:val="0"/>
              <w:bCs/>
              <w:sz w:val="30"/>
              <w:szCs w:val="30"/>
            </w:rPr>
            <w:fldChar w:fldCharType="begin"/>
          </w:r>
          <w:r>
            <w:rPr>
              <w:rFonts w:hint="eastAsia" w:ascii="华文仿宋" w:hAnsi="华文仿宋" w:eastAsia="华文仿宋" w:cs="华文仿宋"/>
              <w:b w:val="0"/>
              <w:bCs/>
              <w:sz w:val="30"/>
              <w:szCs w:val="30"/>
            </w:rPr>
            <w:instrText xml:space="preserve"> HYPERLINK \l _Toc24409 </w:instrText>
          </w:r>
          <w:r>
            <w:rPr>
              <w:rFonts w:hint="eastAsia" w:ascii="华文仿宋" w:hAnsi="华文仿宋" w:eastAsia="华文仿宋" w:cs="华文仿宋"/>
              <w:b w:val="0"/>
              <w:bCs/>
              <w:sz w:val="30"/>
              <w:szCs w:val="30"/>
            </w:rPr>
            <w:fldChar w:fldCharType="separate"/>
          </w:r>
          <w:r>
            <w:rPr>
              <w:rFonts w:hint="eastAsia" w:ascii="华文仿宋" w:hAnsi="华文仿宋" w:eastAsia="华文仿宋" w:cs="华文仿宋"/>
              <w:b w:val="0"/>
              <w:bCs/>
              <w:sz w:val="30"/>
              <w:szCs w:val="30"/>
            </w:rPr>
            <w:t>（一）收入支出决算总体情况说明</w:t>
          </w:r>
          <w:r>
            <w:rPr>
              <w:rFonts w:hint="eastAsia" w:ascii="华文仿宋" w:hAnsi="华文仿宋" w:eastAsia="华文仿宋" w:cs="华文仿宋"/>
              <w:b w:val="0"/>
              <w:bCs/>
              <w:sz w:val="30"/>
              <w:szCs w:val="30"/>
            </w:rPr>
            <w:tab/>
          </w:r>
          <w:r>
            <w:rPr>
              <w:rFonts w:hint="eastAsia" w:ascii="华文仿宋" w:hAnsi="华文仿宋" w:eastAsia="华文仿宋" w:cs="华文仿宋"/>
              <w:b w:val="0"/>
              <w:bCs/>
              <w:sz w:val="30"/>
              <w:szCs w:val="30"/>
            </w:rPr>
            <w:fldChar w:fldCharType="begin"/>
          </w:r>
          <w:r>
            <w:rPr>
              <w:rFonts w:hint="eastAsia" w:ascii="华文仿宋" w:hAnsi="华文仿宋" w:eastAsia="华文仿宋" w:cs="华文仿宋"/>
              <w:b w:val="0"/>
              <w:bCs/>
              <w:sz w:val="30"/>
              <w:szCs w:val="30"/>
            </w:rPr>
            <w:instrText xml:space="preserve"> PAGEREF _Toc24409 \h </w:instrText>
          </w:r>
          <w:r>
            <w:rPr>
              <w:rFonts w:hint="eastAsia" w:ascii="华文仿宋" w:hAnsi="华文仿宋" w:eastAsia="华文仿宋" w:cs="华文仿宋"/>
              <w:b w:val="0"/>
              <w:bCs/>
              <w:sz w:val="30"/>
              <w:szCs w:val="30"/>
            </w:rPr>
            <w:fldChar w:fldCharType="separate"/>
          </w:r>
          <w:r>
            <w:rPr>
              <w:rFonts w:hint="eastAsia" w:ascii="华文仿宋" w:hAnsi="华文仿宋" w:eastAsia="华文仿宋" w:cs="华文仿宋"/>
              <w:b w:val="0"/>
              <w:bCs/>
              <w:sz w:val="30"/>
              <w:szCs w:val="30"/>
            </w:rPr>
            <w:t>5</w:t>
          </w:r>
          <w:r>
            <w:rPr>
              <w:rFonts w:hint="eastAsia" w:ascii="华文仿宋" w:hAnsi="华文仿宋" w:eastAsia="华文仿宋" w:cs="华文仿宋"/>
              <w:b w:val="0"/>
              <w:bCs/>
              <w:sz w:val="30"/>
              <w:szCs w:val="30"/>
            </w:rPr>
            <w:fldChar w:fldCharType="end"/>
          </w:r>
          <w:r>
            <w:rPr>
              <w:rFonts w:hint="eastAsia" w:ascii="华文仿宋" w:hAnsi="华文仿宋" w:eastAsia="华文仿宋" w:cs="华文仿宋"/>
              <w:b w:val="0"/>
              <w:bCs/>
              <w:sz w:val="30"/>
              <w:szCs w:val="30"/>
            </w:rPr>
            <w:fldChar w:fldCharType="end"/>
          </w:r>
        </w:p>
        <w:p>
          <w:pPr>
            <w:pStyle w:val="29"/>
            <w:tabs>
              <w:tab w:val="right" w:leader="dot" w:pos="9184"/>
            </w:tabs>
            <w:rPr>
              <w:rFonts w:hint="eastAsia" w:ascii="华文仿宋" w:hAnsi="华文仿宋" w:eastAsia="华文仿宋" w:cs="华文仿宋"/>
              <w:b w:val="0"/>
              <w:bCs/>
              <w:sz w:val="30"/>
              <w:szCs w:val="30"/>
            </w:rPr>
          </w:pPr>
          <w:r>
            <w:rPr>
              <w:rFonts w:hint="eastAsia" w:ascii="华文仿宋" w:hAnsi="华文仿宋" w:eastAsia="华文仿宋" w:cs="华文仿宋"/>
              <w:b w:val="0"/>
              <w:bCs/>
              <w:sz w:val="30"/>
              <w:szCs w:val="30"/>
            </w:rPr>
            <w:fldChar w:fldCharType="begin"/>
          </w:r>
          <w:r>
            <w:rPr>
              <w:rFonts w:hint="eastAsia" w:ascii="华文仿宋" w:hAnsi="华文仿宋" w:eastAsia="华文仿宋" w:cs="华文仿宋"/>
              <w:b w:val="0"/>
              <w:bCs/>
              <w:sz w:val="30"/>
              <w:szCs w:val="30"/>
            </w:rPr>
            <w:instrText xml:space="preserve"> HYPERLINK \l _Toc8598 </w:instrText>
          </w:r>
          <w:r>
            <w:rPr>
              <w:rFonts w:hint="eastAsia" w:ascii="华文仿宋" w:hAnsi="华文仿宋" w:eastAsia="华文仿宋" w:cs="华文仿宋"/>
              <w:b w:val="0"/>
              <w:bCs/>
              <w:sz w:val="30"/>
              <w:szCs w:val="30"/>
            </w:rPr>
            <w:fldChar w:fldCharType="separate"/>
          </w:r>
          <w:r>
            <w:rPr>
              <w:rFonts w:hint="eastAsia" w:ascii="华文仿宋" w:hAnsi="华文仿宋" w:eastAsia="华文仿宋" w:cs="华文仿宋"/>
              <w:b w:val="0"/>
              <w:bCs/>
              <w:sz w:val="30"/>
              <w:szCs w:val="30"/>
            </w:rPr>
            <w:t>（二）收入决算情况说明</w:t>
          </w:r>
          <w:r>
            <w:rPr>
              <w:rFonts w:hint="eastAsia" w:ascii="华文仿宋" w:hAnsi="华文仿宋" w:eastAsia="华文仿宋" w:cs="华文仿宋"/>
              <w:b w:val="0"/>
              <w:bCs/>
              <w:sz w:val="30"/>
              <w:szCs w:val="30"/>
            </w:rPr>
            <w:tab/>
          </w:r>
          <w:r>
            <w:rPr>
              <w:rFonts w:hint="eastAsia" w:ascii="华文仿宋" w:hAnsi="华文仿宋" w:eastAsia="华文仿宋" w:cs="华文仿宋"/>
              <w:b w:val="0"/>
              <w:bCs/>
              <w:sz w:val="30"/>
              <w:szCs w:val="30"/>
            </w:rPr>
            <w:fldChar w:fldCharType="begin"/>
          </w:r>
          <w:r>
            <w:rPr>
              <w:rFonts w:hint="eastAsia" w:ascii="华文仿宋" w:hAnsi="华文仿宋" w:eastAsia="华文仿宋" w:cs="华文仿宋"/>
              <w:b w:val="0"/>
              <w:bCs/>
              <w:sz w:val="30"/>
              <w:szCs w:val="30"/>
            </w:rPr>
            <w:instrText xml:space="preserve"> PAGEREF _Toc8598 \h </w:instrText>
          </w:r>
          <w:r>
            <w:rPr>
              <w:rFonts w:hint="eastAsia" w:ascii="华文仿宋" w:hAnsi="华文仿宋" w:eastAsia="华文仿宋" w:cs="华文仿宋"/>
              <w:b w:val="0"/>
              <w:bCs/>
              <w:sz w:val="30"/>
              <w:szCs w:val="30"/>
            </w:rPr>
            <w:fldChar w:fldCharType="separate"/>
          </w:r>
          <w:r>
            <w:rPr>
              <w:rFonts w:hint="eastAsia" w:ascii="华文仿宋" w:hAnsi="华文仿宋" w:eastAsia="华文仿宋" w:cs="华文仿宋"/>
              <w:b w:val="0"/>
              <w:bCs/>
              <w:sz w:val="30"/>
              <w:szCs w:val="30"/>
            </w:rPr>
            <w:t>6</w:t>
          </w:r>
          <w:r>
            <w:rPr>
              <w:rFonts w:hint="eastAsia" w:ascii="华文仿宋" w:hAnsi="华文仿宋" w:eastAsia="华文仿宋" w:cs="华文仿宋"/>
              <w:b w:val="0"/>
              <w:bCs/>
              <w:sz w:val="30"/>
              <w:szCs w:val="30"/>
            </w:rPr>
            <w:fldChar w:fldCharType="end"/>
          </w:r>
          <w:r>
            <w:rPr>
              <w:rFonts w:hint="eastAsia" w:ascii="华文仿宋" w:hAnsi="华文仿宋" w:eastAsia="华文仿宋" w:cs="华文仿宋"/>
              <w:b w:val="0"/>
              <w:bCs/>
              <w:sz w:val="30"/>
              <w:szCs w:val="30"/>
            </w:rPr>
            <w:fldChar w:fldCharType="end"/>
          </w:r>
        </w:p>
        <w:p>
          <w:pPr>
            <w:pStyle w:val="29"/>
            <w:tabs>
              <w:tab w:val="right" w:leader="dot" w:pos="9184"/>
            </w:tabs>
            <w:rPr>
              <w:rFonts w:hint="eastAsia" w:ascii="华文仿宋" w:hAnsi="华文仿宋" w:eastAsia="华文仿宋" w:cs="华文仿宋"/>
              <w:b w:val="0"/>
              <w:bCs/>
              <w:sz w:val="30"/>
              <w:szCs w:val="30"/>
            </w:rPr>
          </w:pPr>
          <w:r>
            <w:rPr>
              <w:rFonts w:hint="eastAsia" w:ascii="华文仿宋" w:hAnsi="华文仿宋" w:eastAsia="华文仿宋" w:cs="华文仿宋"/>
              <w:b w:val="0"/>
              <w:bCs/>
              <w:sz w:val="30"/>
              <w:szCs w:val="30"/>
            </w:rPr>
            <w:fldChar w:fldCharType="begin"/>
          </w:r>
          <w:r>
            <w:rPr>
              <w:rFonts w:hint="eastAsia" w:ascii="华文仿宋" w:hAnsi="华文仿宋" w:eastAsia="华文仿宋" w:cs="华文仿宋"/>
              <w:b w:val="0"/>
              <w:bCs/>
              <w:sz w:val="30"/>
              <w:szCs w:val="30"/>
            </w:rPr>
            <w:instrText xml:space="preserve"> HYPERLINK \l _Toc24147 </w:instrText>
          </w:r>
          <w:r>
            <w:rPr>
              <w:rFonts w:hint="eastAsia" w:ascii="华文仿宋" w:hAnsi="华文仿宋" w:eastAsia="华文仿宋" w:cs="华文仿宋"/>
              <w:b w:val="0"/>
              <w:bCs/>
              <w:sz w:val="30"/>
              <w:szCs w:val="30"/>
            </w:rPr>
            <w:fldChar w:fldCharType="separate"/>
          </w:r>
          <w:r>
            <w:rPr>
              <w:rFonts w:hint="eastAsia" w:ascii="华文仿宋" w:hAnsi="华文仿宋" w:eastAsia="华文仿宋" w:cs="华文仿宋"/>
              <w:b w:val="0"/>
              <w:bCs/>
              <w:sz w:val="30"/>
              <w:szCs w:val="30"/>
            </w:rPr>
            <w:t>（三）支出决算情况说明</w:t>
          </w:r>
          <w:r>
            <w:rPr>
              <w:rFonts w:hint="eastAsia" w:ascii="华文仿宋" w:hAnsi="华文仿宋" w:eastAsia="华文仿宋" w:cs="华文仿宋"/>
              <w:b w:val="0"/>
              <w:bCs/>
              <w:sz w:val="30"/>
              <w:szCs w:val="30"/>
            </w:rPr>
            <w:tab/>
          </w:r>
          <w:r>
            <w:rPr>
              <w:rFonts w:hint="eastAsia" w:ascii="华文仿宋" w:hAnsi="华文仿宋" w:eastAsia="华文仿宋" w:cs="华文仿宋"/>
              <w:b w:val="0"/>
              <w:bCs/>
              <w:sz w:val="30"/>
              <w:szCs w:val="30"/>
            </w:rPr>
            <w:fldChar w:fldCharType="begin"/>
          </w:r>
          <w:r>
            <w:rPr>
              <w:rFonts w:hint="eastAsia" w:ascii="华文仿宋" w:hAnsi="华文仿宋" w:eastAsia="华文仿宋" w:cs="华文仿宋"/>
              <w:b w:val="0"/>
              <w:bCs/>
              <w:sz w:val="30"/>
              <w:szCs w:val="30"/>
            </w:rPr>
            <w:instrText xml:space="preserve"> PAGEREF _Toc24147 \h </w:instrText>
          </w:r>
          <w:r>
            <w:rPr>
              <w:rFonts w:hint="eastAsia" w:ascii="华文仿宋" w:hAnsi="华文仿宋" w:eastAsia="华文仿宋" w:cs="华文仿宋"/>
              <w:b w:val="0"/>
              <w:bCs/>
              <w:sz w:val="30"/>
              <w:szCs w:val="30"/>
            </w:rPr>
            <w:fldChar w:fldCharType="separate"/>
          </w:r>
          <w:r>
            <w:rPr>
              <w:rFonts w:hint="eastAsia" w:ascii="华文仿宋" w:hAnsi="华文仿宋" w:eastAsia="华文仿宋" w:cs="华文仿宋"/>
              <w:b w:val="0"/>
              <w:bCs/>
              <w:sz w:val="30"/>
              <w:szCs w:val="30"/>
            </w:rPr>
            <w:t>6</w:t>
          </w:r>
          <w:r>
            <w:rPr>
              <w:rFonts w:hint="eastAsia" w:ascii="华文仿宋" w:hAnsi="华文仿宋" w:eastAsia="华文仿宋" w:cs="华文仿宋"/>
              <w:b w:val="0"/>
              <w:bCs/>
              <w:sz w:val="30"/>
              <w:szCs w:val="30"/>
            </w:rPr>
            <w:fldChar w:fldCharType="end"/>
          </w:r>
          <w:r>
            <w:rPr>
              <w:rFonts w:hint="eastAsia" w:ascii="华文仿宋" w:hAnsi="华文仿宋" w:eastAsia="华文仿宋" w:cs="华文仿宋"/>
              <w:b w:val="0"/>
              <w:bCs/>
              <w:sz w:val="30"/>
              <w:szCs w:val="30"/>
            </w:rPr>
            <w:fldChar w:fldCharType="end"/>
          </w:r>
        </w:p>
        <w:p>
          <w:pPr>
            <w:pStyle w:val="29"/>
            <w:tabs>
              <w:tab w:val="right" w:leader="dot" w:pos="9184"/>
            </w:tabs>
            <w:rPr>
              <w:rFonts w:hint="eastAsia" w:ascii="华文仿宋" w:hAnsi="华文仿宋" w:eastAsia="华文仿宋" w:cs="华文仿宋"/>
              <w:b w:val="0"/>
              <w:bCs/>
              <w:sz w:val="30"/>
              <w:szCs w:val="30"/>
            </w:rPr>
          </w:pPr>
          <w:r>
            <w:rPr>
              <w:rFonts w:hint="eastAsia" w:ascii="华文仿宋" w:hAnsi="华文仿宋" w:eastAsia="华文仿宋" w:cs="华文仿宋"/>
              <w:b w:val="0"/>
              <w:bCs/>
              <w:sz w:val="30"/>
              <w:szCs w:val="30"/>
            </w:rPr>
            <w:fldChar w:fldCharType="begin"/>
          </w:r>
          <w:r>
            <w:rPr>
              <w:rFonts w:hint="eastAsia" w:ascii="华文仿宋" w:hAnsi="华文仿宋" w:eastAsia="华文仿宋" w:cs="华文仿宋"/>
              <w:b w:val="0"/>
              <w:bCs/>
              <w:sz w:val="30"/>
              <w:szCs w:val="30"/>
            </w:rPr>
            <w:instrText xml:space="preserve"> HYPERLINK \l _Toc15405 </w:instrText>
          </w:r>
          <w:r>
            <w:rPr>
              <w:rFonts w:hint="eastAsia" w:ascii="华文仿宋" w:hAnsi="华文仿宋" w:eastAsia="华文仿宋" w:cs="华文仿宋"/>
              <w:b w:val="0"/>
              <w:bCs/>
              <w:sz w:val="30"/>
              <w:szCs w:val="30"/>
            </w:rPr>
            <w:fldChar w:fldCharType="separate"/>
          </w:r>
          <w:r>
            <w:rPr>
              <w:rFonts w:hint="eastAsia" w:ascii="华文仿宋" w:hAnsi="华文仿宋" w:eastAsia="华文仿宋" w:cs="华文仿宋"/>
              <w:b w:val="0"/>
              <w:bCs/>
              <w:sz w:val="30"/>
              <w:szCs w:val="30"/>
              <w:shd w:val="clear" w:color="auto" w:fill="FFFFFF"/>
            </w:rPr>
            <w:t>（四）财政拨款收入支出决算总体情况说明</w:t>
          </w:r>
          <w:r>
            <w:rPr>
              <w:rFonts w:hint="eastAsia" w:ascii="华文仿宋" w:hAnsi="华文仿宋" w:eastAsia="华文仿宋" w:cs="华文仿宋"/>
              <w:b w:val="0"/>
              <w:bCs/>
              <w:sz w:val="30"/>
              <w:szCs w:val="30"/>
            </w:rPr>
            <w:tab/>
          </w:r>
          <w:r>
            <w:rPr>
              <w:rFonts w:hint="eastAsia" w:ascii="华文仿宋" w:hAnsi="华文仿宋" w:eastAsia="华文仿宋" w:cs="华文仿宋"/>
              <w:b w:val="0"/>
              <w:bCs/>
              <w:sz w:val="30"/>
              <w:szCs w:val="30"/>
            </w:rPr>
            <w:fldChar w:fldCharType="begin"/>
          </w:r>
          <w:r>
            <w:rPr>
              <w:rFonts w:hint="eastAsia" w:ascii="华文仿宋" w:hAnsi="华文仿宋" w:eastAsia="华文仿宋" w:cs="华文仿宋"/>
              <w:b w:val="0"/>
              <w:bCs/>
              <w:sz w:val="30"/>
              <w:szCs w:val="30"/>
            </w:rPr>
            <w:instrText xml:space="preserve"> PAGEREF _Toc15405 \h </w:instrText>
          </w:r>
          <w:r>
            <w:rPr>
              <w:rFonts w:hint="eastAsia" w:ascii="华文仿宋" w:hAnsi="华文仿宋" w:eastAsia="华文仿宋" w:cs="华文仿宋"/>
              <w:b w:val="0"/>
              <w:bCs/>
              <w:sz w:val="30"/>
              <w:szCs w:val="30"/>
            </w:rPr>
            <w:fldChar w:fldCharType="separate"/>
          </w:r>
          <w:r>
            <w:rPr>
              <w:rFonts w:hint="eastAsia" w:ascii="华文仿宋" w:hAnsi="华文仿宋" w:eastAsia="华文仿宋" w:cs="华文仿宋"/>
              <w:b w:val="0"/>
              <w:bCs/>
              <w:sz w:val="30"/>
              <w:szCs w:val="30"/>
            </w:rPr>
            <w:t>6</w:t>
          </w:r>
          <w:r>
            <w:rPr>
              <w:rFonts w:hint="eastAsia" w:ascii="华文仿宋" w:hAnsi="华文仿宋" w:eastAsia="华文仿宋" w:cs="华文仿宋"/>
              <w:b w:val="0"/>
              <w:bCs/>
              <w:sz w:val="30"/>
              <w:szCs w:val="30"/>
            </w:rPr>
            <w:fldChar w:fldCharType="end"/>
          </w:r>
          <w:r>
            <w:rPr>
              <w:rFonts w:hint="eastAsia" w:ascii="华文仿宋" w:hAnsi="华文仿宋" w:eastAsia="华文仿宋" w:cs="华文仿宋"/>
              <w:b w:val="0"/>
              <w:bCs/>
              <w:sz w:val="30"/>
              <w:szCs w:val="30"/>
            </w:rPr>
            <w:fldChar w:fldCharType="end"/>
          </w:r>
        </w:p>
        <w:p>
          <w:pPr>
            <w:pStyle w:val="29"/>
            <w:tabs>
              <w:tab w:val="right" w:leader="dot" w:pos="9184"/>
            </w:tabs>
            <w:rPr>
              <w:rFonts w:hint="eastAsia" w:ascii="华文仿宋" w:hAnsi="华文仿宋" w:eastAsia="华文仿宋" w:cs="华文仿宋"/>
              <w:b w:val="0"/>
              <w:bCs/>
              <w:sz w:val="30"/>
              <w:szCs w:val="30"/>
            </w:rPr>
          </w:pPr>
          <w:r>
            <w:rPr>
              <w:rFonts w:hint="eastAsia" w:ascii="华文仿宋" w:hAnsi="华文仿宋" w:eastAsia="华文仿宋" w:cs="华文仿宋"/>
              <w:b w:val="0"/>
              <w:bCs/>
              <w:sz w:val="30"/>
              <w:szCs w:val="30"/>
            </w:rPr>
            <w:fldChar w:fldCharType="begin"/>
          </w:r>
          <w:r>
            <w:rPr>
              <w:rFonts w:hint="eastAsia" w:ascii="华文仿宋" w:hAnsi="华文仿宋" w:eastAsia="华文仿宋" w:cs="华文仿宋"/>
              <w:b w:val="0"/>
              <w:bCs/>
              <w:sz w:val="30"/>
              <w:szCs w:val="30"/>
            </w:rPr>
            <w:instrText xml:space="preserve"> HYPERLINK \l _Toc19227 </w:instrText>
          </w:r>
          <w:r>
            <w:rPr>
              <w:rFonts w:hint="eastAsia" w:ascii="华文仿宋" w:hAnsi="华文仿宋" w:eastAsia="华文仿宋" w:cs="华文仿宋"/>
              <w:b w:val="0"/>
              <w:bCs/>
              <w:sz w:val="30"/>
              <w:szCs w:val="30"/>
            </w:rPr>
            <w:fldChar w:fldCharType="separate"/>
          </w:r>
          <w:r>
            <w:rPr>
              <w:rFonts w:hint="eastAsia" w:ascii="华文仿宋" w:hAnsi="华文仿宋" w:eastAsia="华文仿宋" w:cs="华文仿宋"/>
              <w:b w:val="0"/>
              <w:bCs/>
              <w:sz w:val="30"/>
              <w:szCs w:val="30"/>
              <w:shd w:val="clear" w:color="auto" w:fill="FFFFFF"/>
            </w:rPr>
            <w:t>（五）一般公共预算财政拨款支出决算情况说明</w:t>
          </w:r>
          <w:r>
            <w:rPr>
              <w:rFonts w:hint="eastAsia" w:ascii="华文仿宋" w:hAnsi="华文仿宋" w:eastAsia="华文仿宋" w:cs="华文仿宋"/>
              <w:b w:val="0"/>
              <w:bCs/>
              <w:sz w:val="30"/>
              <w:szCs w:val="30"/>
            </w:rPr>
            <w:tab/>
          </w:r>
          <w:r>
            <w:rPr>
              <w:rFonts w:hint="eastAsia" w:ascii="华文仿宋" w:hAnsi="华文仿宋" w:eastAsia="华文仿宋" w:cs="华文仿宋"/>
              <w:b w:val="0"/>
              <w:bCs/>
              <w:sz w:val="30"/>
              <w:szCs w:val="30"/>
            </w:rPr>
            <w:fldChar w:fldCharType="begin"/>
          </w:r>
          <w:r>
            <w:rPr>
              <w:rFonts w:hint="eastAsia" w:ascii="华文仿宋" w:hAnsi="华文仿宋" w:eastAsia="华文仿宋" w:cs="华文仿宋"/>
              <w:b w:val="0"/>
              <w:bCs/>
              <w:sz w:val="30"/>
              <w:szCs w:val="30"/>
            </w:rPr>
            <w:instrText xml:space="preserve"> PAGEREF _Toc19227 \h </w:instrText>
          </w:r>
          <w:r>
            <w:rPr>
              <w:rFonts w:hint="eastAsia" w:ascii="华文仿宋" w:hAnsi="华文仿宋" w:eastAsia="华文仿宋" w:cs="华文仿宋"/>
              <w:b w:val="0"/>
              <w:bCs/>
              <w:sz w:val="30"/>
              <w:szCs w:val="30"/>
            </w:rPr>
            <w:fldChar w:fldCharType="separate"/>
          </w:r>
          <w:r>
            <w:rPr>
              <w:rFonts w:hint="eastAsia" w:ascii="华文仿宋" w:hAnsi="华文仿宋" w:eastAsia="华文仿宋" w:cs="华文仿宋"/>
              <w:b w:val="0"/>
              <w:bCs/>
              <w:sz w:val="30"/>
              <w:szCs w:val="30"/>
            </w:rPr>
            <w:t>7</w:t>
          </w:r>
          <w:r>
            <w:rPr>
              <w:rFonts w:hint="eastAsia" w:ascii="华文仿宋" w:hAnsi="华文仿宋" w:eastAsia="华文仿宋" w:cs="华文仿宋"/>
              <w:b w:val="0"/>
              <w:bCs/>
              <w:sz w:val="30"/>
              <w:szCs w:val="30"/>
            </w:rPr>
            <w:fldChar w:fldCharType="end"/>
          </w:r>
          <w:r>
            <w:rPr>
              <w:rFonts w:hint="eastAsia" w:ascii="华文仿宋" w:hAnsi="华文仿宋" w:eastAsia="华文仿宋" w:cs="华文仿宋"/>
              <w:b w:val="0"/>
              <w:bCs/>
              <w:sz w:val="30"/>
              <w:szCs w:val="30"/>
            </w:rPr>
            <w:fldChar w:fldCharType="end"/>
          </w:r>
        </w:p>
        <w:p>
          <w:pPr>
            <w:pStyle w:val="29"/>
            <w:tabs>
              <w:tab w:val="right" w:leader="dot" w:pos="9184"/>
            </w:tabs>
            <w:rPr>
              <w:rFonts w:hint="eastAsia" w:ascii="华文仿宋" w:hAnsi="华文仿宋" w:eastAsia="华文仿宋" w:cs="华文仿宋"/>
              <w:b w:val="0"/>
              <w:bCs/>
              <w:sz w:val="30"/>
              <w:szCs w:val="30"/>
            </w:rPr>
          </w:pPr>
          <w:r>
            <w:rPr>
              <w:rFonts w:hint="eastAsia" w:ascii="华文仿宋" w:hAnsi="华文仿宋" w:eastAsia="华文仿宋" w:cs="华文仿宋"/>
              <w:b w:val="0"/>
              <w:bCs/>
              <w:sz w:val="30"/>
              <w:szCs w:val="30"/>
            </w:rPr>
            <w:fldChar w:fldCharType="begin"/>
          </w:r>
          <w:r>
            <w:rPr>
              <w:rFonts w:hint="eastAsia" w:ascii="华文仿宋" w:hAnsi="华文仿宋" w:eastAsia="华文仿宋" w:cs="华文仿宋"/>
              <w:b w:val="0"/>
              <w:bCs/>
              <w:sz w:val="30"/>
              <w:szCs w:val="30"/>
            </w:rPr>
            <w:instrText xml:space="preserve"> HYPERLINK \l _Toc14031 </w:instrText>
          </w:r>
          <w:r>
            <w:rPr>
              <w:rFonts w:hint="eastAsia" w:ascii="华文仿宋" w:hAnsi="华文仿宋" w:eastAsia="华文仿宋" w:cs="华文仿宋"/>
              <w:b w:val="0"/>
              <w:bCs/>
              <w:sz w:val="30"/>
              <w:szCs w:val="30"/>
            </w:rPr>
            <w:fldChar w:fldCharType="separate"/>
          </w:r>
          <w:r>
            <w:rPr>
              <w:rFonts w:hint="eastAsia" w:ascii="华文仿宋" w:hAnsi="华文仿宋" w:eastAsia="华文仿宋" w:cs="华文仿宋"/>
              <w:b w:val="0"/>
              <w:bCs/>
              <w:sz w:val="30"/>
              <w:szCs w:val="30"/>
            </w:rPr>
            <w:t>（六）一般公共预算财政拨款基本支出决算情况说明</w:t>
          </w:r>
          <w:r>
            <w:rPr>
              <w:rFonts w:hint="eastAsia" w:ascii="华文仿宋" w:hAnsi="华文仿宋" w:eastAsia="华文仿宋" w:cs="华文仿宋"/>
              <w:b w:val="0"/>
              <w:bCs/>
              <w:sz w:val="30"/>
              <w:szCs w:val="30"/>
            </w:rPr>
            <w:tab/>
          </w:r>
          <w:r>
            <w:rPr>
              <w:rFonts w:hint="eastAsia" w:ascii="华文仿宋" w:hAnsi="华文仿宋" w:eastAsia="华文仿宋" w:cs="华文仿宋"/>
              <w:b w:val="0"/>
              <w:bCs/>
              <w:sz w:val="30"/>
              <w:szCs w:val="30"/>
            </w:rPr>
            <w:fldChar w:fldCharType="begin"/>
          </w:r>
          <w:r>
            <w:rPr>
              <w:rFonts w:hint="eastAsia" w:ascii="华文仿宋" w:hAnsi="华文仿宋" w:eastAsia="华文仿宋" w:cs="华文仿宋"/>
              <w:b w:val="0"/>
              <w:bCs/>
              <w:sz w:val="30"/>
              <w:szCs w:val="30"/>
            </w:rPr>
            <w:instrText xml:space="preserve"> PAGEREF _Toc14031 \h </w:instrText>
          </w:r>
          <w:r>
            <w:rPr>
              <w:rFonts w:hint="eastAsia" w:ascii="华文仿宋" w:hAnsi="华文仿宋" w:eastAsia="华文仿宋" w:cs="华文仿宋"/>
              <w:b w:val="0"/>
              <w:bCs/>
              <w:sz w:val="30"/>
              <w:szCs w:val="30"/>
            </w:rPr>
            <w:fldChar w:fldCharType="separate"/>
          </w:r>
          <w:r>
            <w:rPr>
              <w:rFonts w:hint="eastAsia" w:ascii="华文仿宋" w:hAnsi="华文仿宋" w:eastAsia="华文仿宋" w:cs="华文仿宋"/>
              <w:b w:val="0"/>
              <w:bCs/>
              <w:sz w:val="30"/>
              <w:szCs w:val="30"/>
            </w:rPr>
            <w:t>12</w:t>
          </w:r>
          <w:r>
            <w:rPr>
              <w:rFonts w:hint="eastAsia" w:ascii="华文仿宋" w:hAnsi="华文仿宋" w:eastAsia="华文仿宋" w:cs="华文仿宋"/>
              <w:b w:val="0"/>
              <w:bCs/>
              <w:sz w:val="30"/>
              <w:szCs w:val="30"/>
            </w:rPr>
            <w:fldChar w:fldCharType="end"/>
          </w:r>
          <w:r>
            <w:rPr>
              <w:rFonts w:hint="eastAsia" w:ascii="华文仿宋" w:hAnsi="华文仿宋" w:eastAsia="华文仿宋" w:cs="华文仿宋"/>
              <w:b w:val="0"/>
              <w:bCs/>
              <w:sz w:val="30"/>
              <w:szCs w:val="30"/>
            </w:rPr>
            <w:fldChar w:fldCharType="end"/>
          </w:r>
        </w:p>
        <w:p>
          <w:pPr>
            <w:pStyle w:val="29"/>
            <w:tabs>
              <w:tab w:val="right" w:leader="dot" w:pos="9184"/>
            </w:tabs>
            <w:rPr>
              <w:rFonts w:hint="eastAsia" w:ascii="华文仿宋" w:hAnsi="华文仿宋" w:eastAsia="华文仿宋" w:cs="华文仿宋"/>
              <w:b w:val="0"/>
              <w:bCs/>
              <w:sz w:val="30"/>
              <w:szCs w:val="30"/>
            </w:rPr>
          </w:pPr>
          <w:r>
            <w:rPr>
              <w:rFonts w:hint="eastAsia" w:ascii="华文仿宋" w:hAnsi="华文仿宋" w:eastAsia="华文仿宋" w:cs="华文仿宋"/>
              <w:b w:val="0"/>
              <w:bCs/>
              <w:sz w:val="30"/>
              <w:szCs w:val="30"/>
            </w:rPr>
            <w:fldChar w:fldCharType="begin"/>
          </w:r>
          <w:r>
            <w:rPr>
              <w:rFonts w:hint="eastAsia" w:ascii="华文仿宋" w:hAnsi="华文仿宋" w:eastAsia="华文仿宋" w:cs="华文仿宋"/>
              <w:b w:val="0"/>
              <w:bCs/>
              <w:sz w:val="30"/>
              <w:szCs w:val="30"/>
            </w:rPr>
            <w:instrText xml:space="preserve"> HYPERLINK \l _Toc13420 </w:instrText>
          </w:r>
          <w:r>
            <w:rPr>
              <w:rFonts w:hint="eastAsia" w:ascii="华文仿宋" w:hAnsi="华文仿宋" w:eastAsia="华文仿宋" w:cs="华文仿宋"/>
              <w:b w:val="0"/>
              <w:bCs/>
              <w:sz w:val="30"/>
              <w:szCs w:val="30"/>
            </w:rPr>
            <w:fldChar w:fldCharType="separate"/>
          </w:r>
          <w:r>
            <w:rPr>
              <w:rFonts w:hint="eastAsia" w:ascii="华文仿宋" w:hAnsi="华文仿宋" w:eastAsia="华文仿宋" w:cs="华文仿宋"/>
              <w:b w:val="0"/>
              <w:bCs/>
              <w:sz w:val="30"/>
              <w:szCs w:val="30"/>
              <w:shd w:val="clear" w:color="auto" w:fill="FFFFFF"/>
            </w:rPr>
            <w:t>（七）政府性基金预算财政拨款支出决算总体情况说明</w:t>
          </w:r>
          <w:r>
            <w:rPr>
              <w:rFonts w:hint="eastAsia" w:ascii="华文仿宋" w:hAnsi="华文仿宋" w:eastAsia="华文仿宋" w:cs="华文仿宋"/>
              <w:b w:val="0"/>
              <w:bCs/>
              <w:sz w:val="30"/>
              <w:szCs w:val="30"/>
            </w:rPr>
            <w:tab/>
          </w:r>
          <w:r>
            <w:rPr>
              <w:rFonts w:hint="eastAsia" w:ascii="华文仿宋" w:hAnsi="华文仿宋" w:eastAsia="华文仿宋" w:cs="华文仿宋"/>
              <w:b w:val="0"/>
              <w:bCs/>
              <w:sz w:val="30"/>
              <w:szCs w:val="30"/>
            </w:rPr>
            <w:fldChar w:fldCharType="begin"/>
          </w:r>
          <w:r>
            <w:rPr>
              <w:rFonts w:hint="eastAsia" w:ascii="华文仿宋" w:hAnsi="华文仿宋" w:eastAsia="华文仿宋" w:cs="华文仿宋"/>
              <w:b w:val="0"/>
              <w:bCs/>
              <w:sz w:val="30"/>
              <w:szCs w:val="30"/>
            </w:rPr>
            <w:instrText xml:space="preserve"> PAGEREF _Toc13420 \h </w:instrText>
          </w:r>
          <w:r>
            <w:rPr>
              <w:rFonts w:hint="eastAsia" w:ascii="华文仿宋" w:hAnsi="华文仿宋" w:eastAsia="华文仿宋" w:cs="华文仿宋"/>
              <w:b w:val="0"/>
              <w:bCs/>
              <w:sz w:val="30"/>
              <w:szCs w:val="30"/>
            </w:rPr>
            <w:fldChar w:fldCharType="separate"/>
          </w:r>
          <w:r>
            <w:rPr>
              <w:rFonts w:hint="eastAsia" w:ascii="华文仿宋" w:hAnsi="华文仿宋" w:eastAsia="华文仿宋" w:cs="华文仿宋"/>
              <w:b w:val="0"/>
              <w:bCs/>
              <w:sz w:val="30"/>
              <w:szCs w:val="30"/>
            </w:rPr>
            <w:t>12</w:t>
          </w:r>
          <w:r>
            <w:rPr>
              <w:rFonts w:hint="eastAsia" w:ascii="华文仿宋" w:hAnsi="华文仿宋" w:eastAsia="华文仿宋" w:cs="华文仿宋"/>
              <w:b w:val="0"/>
              <w:bCs/>
              <w:sz w:val="30"/>
              <w:szCs w:val="30"/>
            </w:rPr>
            <w:fldChar w:fldCharType="end"/>
          </w:r>
          <w:r>
            <w:rPr>
              <w:rFonts w:hint="eastAsia" w:ascii="华文仿宋" w:hAnsi="华文仿宋" w:eastAsia="华文仿宋" w:cs="华文仿宋"/>
              <w:b w:val="0"/>
              <w:bCs/>
              <w:sz w:val="30"/>
              <w:szCs w:val="30"/>
            </w:rPr>
            <w:fldChar w:fldCharType="end"/>
          </w:r>
        </w:p>
        <w:p>
          <w:pPr>
            <w:pStyle w:val="29"/>
            <w:tabs>
              <w:tab w:val="right" w:leader="dot" w:pos="9184"/>
            </w:tabs>
            <w:rPr>
              <w:rFonts w:hint="eastAsia" w:ascii="华文仿宋" w:hAnsi="华文仿宋" w:eastAsia="华文仿宋" w:cs="华文仿宋"/>
              <w:b w:val="0"/>
              <w:bCs/>
              <w:sz w:val="30"/>
              <w:szCs w:val="30"/>
            </w:rPr>
          </w:pPr>
          <w:r>
            <w:rPr>
              <w:rFonts w:hint="eastAsia" w:ascii="华文仿宋" w:hAnsi="华文仿宋" w:eastAsia="华文仿宋" w:cs="华文仿宋"/>
              <w:b w:val="0"/>
              <w:bCs/>
              <w:sz w:val="30"/>
              <w:szCs w:val="30"/>
            </w:rPr>
            <w:fldChar w:fldCharType="begin"/>
          </w:r>
          <w:r>
            <w:rPr>
              <w:rFonts w:hint="eastAsia" w:ascii="华文仿宋" w:hAnsi="华文仿宋" w:eastAsia="华文仿宋" w:cs="华文仿宋"/>
              <w:b w:val="0"/>
              <w:bCs/>
              <w:sz w:val="30"/>
              <w:szCs w:val="30"/>
            </w:rPr>
            <w:instrText xml:space="preserve"> HYPERLINK \l _Toc6873 </w:instrText>
          </w:r>
          <w:r>
            <w:rPr>
              <w:rFonts w:hint="eastAsia" w:ascii="华文仿宋" w:hAnsi="华文仿宋" w:eastAsia="华文仿宋" w:cs="华文仿宋"/>
              <w:b w:val="0"/>
              <w:bCs/>
              <w:sz w:val="30"/>
              <w:szCs w:val="30"/>
            </w:rPr>
            <w:fldChar w:fldCharType="separate"/>
          </w:r>
          <w:r>
            <w:rPr>
              <w:rFonts w:hint="eastAsia" w:ascii="华文仿宋" w:hAnsi="华文仿宋" w:eastAsia="华文仿宋" w:cs="华文仿宋"/>
              <w:b w:val="0"/>
              <w:bCs/>
              <w:sz w:val="30"/>
              <w:szCs w:val="30"/>
              <w:highlight w:val="white"/>
            </w:rPr>
            <w:t>（八）国有资本经营预算财政拨款支出决算总体情况说明</w:t>
          </w:r>
          <w:r>
            <w:rPr>
              <w:rFonts w:hint="eastAsia" w:ascii="华文仿宋" w:hAnsi="华文仿宋" w:eastAsia="华文仿宋" w:cs="华文仿宋"/>
              <w:b w:val="0"/>
              <w:bCs/>
              <w:sz w:val="30"/>
              <w:szCs w:val="30"/>
            </w:rPr>
            <w:tab/>
          </w:r>
          <w:r>
            <w:rPr>
              <w:rFonts w:hint="eastAsia" w:ascii="华文仿宋" w:hAnsi="华文仿宋" w:eastAsia="华文仿宋" w:cs="华文仿宋"/>
              <w:b w:val="0"/>
              <w:bCs/>
              <w:sz w:val="30"/>
              <w:szCs w:val="30"/>
            </w:rPr>
            <w:fldChar w:fldCharType="begin"/>
          </w:r>
          <w:r>
            <w:rPr>
              <w:rFonts w:hint="eastAsia" w:ascii="华文仿宋" w:hAnsi="华文仿宋" w:eastAsia="华文仿宋" w:cs="华文仿宋"/>
              <w:b w:val="0"/>
              <w:bCs/>
              <w:sz w:val="30"/>
              <w:szCs w:val="30"/>
            </w:rPr>
            <w:instrText xml:space="preserve"> PAGEREF _Toc6873 \h </w:instrText>
          </w:r>
          <w:r>
            <w:rPr>
              <w:rFonts w:hint="eastAsia" w:ascii="华文仿宋" w:hAnsi="华文仿宋" w:eastAsia="华文仿宋" w:cs="华文仿宋"/>
              <w:b w:val="0"/>
              <w:bCs/>
              <w:sz w:val="30"/>
              <w:szCs w:val="30"/>
            </w:rPr>
            <w:fldChar w:fldCharType="separate"/>
          </w:r>
          <w:r>
            <w:rPr>
              <w:rFonts w:hint="eastAsia" w:ascii="华文仿宋" w:hAnsi="华文仿宋" w:eastAsia="华文仿宋" w:cs="华文仿宋"/>
              <w:b w:val="0"/>
              <w:bCs/>
              <w:sz w:val="30"/>
              <w:szCs w:val="30"/>
            </w:rPr>
            <w:t>13</w:t>
          </w:r>
          <w:r>
            <w:rPr>
              <w:rFonts w:hint="eastAsia" w:ascii="华文仿宋" w:hAnsi="华文仿宋" w:eastAsia="华文仿宋" w:cs="华文仿宋"/>
              <w:b w:val="0"/>
              <w:bCs/>
              <w:sz w:val="30"/>
              <w:szCs w:val="30"/>
            </w:rPr>
            <w:fldChar w:fldCharType="end"/>
          </w:r>
          <w:r>
            <w:rPr>
              <w:rFonts w:hint="eastAsia" w:ascii="华文仿宋" w:hAnsi="华文仿宋" w:eastAsia="华文仿宋" w:cs="华文仿宋"/>
              <w:b w:val="0"/>
              <w:bCs/>
              <w:sz w:val="30"/>
              <w:szCs w:val="30"/>
            </w:rPr>
            <w:fldChar w:fldCharType="end"/>
          </w:r>
        </w:p>
        <w:p>
          <w:pPr>
            <w:pStyle w:val="29"/>
            <w:tabs>
              <w:tab w:val="right" w:leader="dot" w:pos="9184"/>
            </w:tabs>
            <w:rPr>
              <w:rFonts w:hint="eastAsia" w:ascii="华文仿宋" w:hAnsi="华文仿宋" w:eastAsia="华文仿宋" w:cs="华文仿宋"/>
              <w:b w:val="0"/>
              <w:bCs/>
              <w:sz w:val="30"/>
              <w:szCs w:val="30"/>
            </w:rPr>
          </w:pPr>
          <w:r>
            <w:rPr>
              <w:rFonts w:hint="eastAsia" w:ascii="华文仿宋" w:hAnsi="华文仿宋" w:eastAsia="华文仿宋" w:cs="华文仿宋"/>
              <w:b w:val="0"/>
              <w:bCs/>
              <w:sz w:val="30"/>
              <w:szCs w:val="30"/>
            </w:rPr>
            <w:fldChar w:fldCharType="begin"/>
          </w:r>
          <w:r>
            <w:rPr>
              <w:rFonts w:hint="eastAsia" w:ascii="华文仿宋" w:hAnsi="华文仿宋" w:eastAsia="华文仿宋" w:cs="华文仿宋"/>
              <w:b w:val="0"/>
              <w:bCs/>
              <w:sz w:val="30"/>
              <w:szCs w:val="30"/>
            </w:rPr>
            <w:instrText xml:space="preserve"> HYPERLINK \l _Toc9592 </w:instrText>
          </w:r>
          <w:r>
            <w:rPr>
              <w:rFonts w:hint="eastAsia" w:ascii="华文仿宋" w:hAnsi="华文仿宋" w:eastAsia="华文仿宋" w:cs="华文仿宋"/>
              <w:b w:val="0"/>
              <w:bCs/>
              <w:sz w:val="30"/>
              <w:szCs w:val="30"/>
            </w:rPr>
            <w:fldChar w:fldCharType="separate"/>
          </w:r>
          <w:r>
            <w:rPr>
              <w:rFonts w:hint="eastAsia" w:ascii="华文仿宋" w:hAnsi="华文仿宋" w:eastAsia="华文仿宋" w:cs="华文仿宋"/>
              <w:b w:val="0"/>
              <w:bCs/>
              <w:sz w:val="30"/>
              <w:szCs w:val="30"/>
              <w:highlight w:val="white"/>
            </w:rPr>
            <w:t>（九）一般公共预算财政拨款“三公”经费支出决算情况说明</w:t>
          </w:r>
          <w:r>
            <w:rPr>
              <w:rFonts w:hint="eastAsia" w:ascii="华文仿宋" w:hAnsi="华文仿宋" w:eastAsia="华文仿宋" w:cs="华文仿宋"/>
              <w:b w:val="0"/>
              <w:bCs/>
              <w:sz w:val="30"/>
              <w:szCs w:val="30"/>
            </w:rPr>
            <w:tab/>
          </w:r>
          <w:r>
            <w:rPr>
              <w:rFonts w:hint="eastAsia" w:ascii="华文仿宋" w:hAnsi="华文仿宋" w:eastAsia="华文仿宋" w:cs="华文仿宋"/>
              <w:b w:val="0"/>
              <w:bCs/>
              <w:sz w:val="30"/>
              <w:szCs w:val="30"/>
            </w:rPr>
            <w:fldChar w:fldCharType="begin"/>
          </w:r>
          <w:r>
            <w:rPr>
              <w:rFonts w:hint="eastAsia" w:ascii="华文仿宋" w:hAnsi="华文仿宋" w:eastAsia="华文仿宋" w:cs="华文仿宋"/>
              <w:b w:val="0"/>
              <w:bCs/>
              <w:sz w:val="30"/>
              <w:szCs w:val="30"/>
            </w:rPr>
            <w:instrText xml:space="preserve"> PAGEREF _Toc9592 \h </w:instrText>
          </w:r>
          <w:r>
            <w:rPr>
              <w:rFonts w:hint="eastAsia" w:ascii="华文仿宋" w:hAnsi="华文仿宋" w:eastAsia="华文仿宋" w:cs="华文仿宋"/>
              <w:b w:val="0"/>
              <w:bCs/>
              <w:sz w:val="30"/>
              <w:szCs w:val="30"/>
            </w:rPr>
            <w:fldChar w:fldCharType="separate"/>
          </w:r>
          <w:r>
            <w:rPr>
              <w:rFonts w:hint="eastAsia" w:ascii="华文仿宋" w:hAnsi="华文仿宋" w:eastAsia="华文仿宋" w:cs="华文仿宋"/>
              <w:b w:val="0"/>
              <w:bCs/>
              <w:sz w:val="30"/>
              <w:szCs w:val="30"/>
            </w:rPr>
            <w:t>14</w:t>
          </w:r>
          <w:r>
            <w:rPr>
              <w:rFonts w:hint="eastAsia" w:ascii="华文仿宋" w:hAnsi="华文仿宋" w:eastAsia="华文仿宋" w:cs="华文仿宋"/>
              <w:b w:val="0"/>
              <w:bCs/>
              <w:sz w:val="30"/>
              <w:szCs w:val="30"/>
            </w:rPr>
            <w:fldChar w:fldCharType="end"/>
          </w:r>
          <w:r>
            <w:rPr>
              <w:rFonts w:hint="eastAsia" w:ascii="华文仿宋" w:hAnsi="华文仿宋" w:eastAsia="华文仿宋" w:cs="华文仿宋"/>
              <w:b w:val="0"/>
              <w:bCs/>
              <w:sz w:val="30"/>
              <w:szCs w:val="30"/>
            </w:rPr>
            <w:fldChar w:fldCharType="end"/>
          </w:r>
        </w:p>
        <w:p>
          <w:pPr>
            <w:pStyle w:val="29"/>
            <w:tabs>
              <w:tab w:val="right" w:leader="dot" w:pos="9184"/>
            </w:tabs>
            <w:rPr>
              <w:rFonts w:hint="eastAsia" w:ascii="华文仿宋" w:hAnsi="华文仿宋" w:eastAsia="华文仿宋" w:cs="华文仿宋"/>
              <w:b w:val="0"/>
              <w:bCs/>
              <w:sz w:val="30"/>
              <w:szCs w:val="30"/>
            </w:rPr>
          </w:pPr>
          <w:r>
            <w:rPr>
              <w:rFonts w:hint="eastAsia" w:ascii="华文仿宋" w:hAnsi="华文仿宋" w:eastAsia="华文仿宋" w:cs="华文仿宋"/>
              <w:b w:val="0"/>
              <w:bCs/>
              <w:sz w:val="30"/>
              <w:szCs w:val="30"/>
            </w:rPr>
            <w:fldChar w:fldCharType="begin"/>
          </w:r>
          <w:r>
            <w:rPr>
              <w:rFonts w:hint="eastAsia" w:ascii="华文仿宋" w:hAnsi="华文仿宋" w:eastAsia="华文仿宋" w:cs="华文仿宋"/>
              <w:b w:val="0"/>
              <w:bCs/>
              <w:sz w:val="30"/>
              <w:szCs w:val="30"/>
            </w:rPr>
            <w:instrText xml:space="preserve"> HYPERLINK \l _Toc30934 </w:instrText>
          </w:r>
          <w:r>
            <w:rPr>
              <w:rFonts w:hint="eastAsia" w:ascii="华文仿宋" w:hAnsi="华文仿宋" w:eastAsia="华文仿宋" w:cs="华文仿宋"/>
              <w:b w:val="0"/>
              <w:bCs/>
              <w:sz w:val="30"/>
              <w:szCs w:val="30"/>
            </w:rPr>
            <w:fldChar w:fldCharType="separate"/>
          </w:r>
          <w:r>
            <w:rPr>
              <w:rFonts w:hint="eastAsia" w:ascii="华文仿宋" w:hAnsi="华文仿宋" w:eastAsia="华文仿宋" w:cs="华文仿宋"/>
              <w:b w:val="0"/>
              <w:bCs/>
              <w:sz w:val="30"/>
              <w:szCs w:val="30"/>
              <w:highlight w:val="white"/>
            </w:rPr>
            <w:t>（十）机关运行经费支出说明</w:t>
          </w:r>
          <w:r>
            <w:rPr>
              <w:rFonts w:hint="eastAsia" w:ascii="华文仿宋" w:hAnsi="华文仿宋" w:eastAsia="华文仿宋" w:cs="华文仿宋"/>
              <w:b w:val="0"/>
              <w:bCs/>
              <w:sz w:val="30"/>
              <w:szCs w:val="30"/>
            </w:rPr>
            <w:tab/>
          </w:r>
          <w:r>
            <w:rPr>
              <w:rFonts w:hint="eastAsia" w:ascii="华文仿宋" w:hAnsi="华文仿宋" w:eastAsia="华文仿宋" w:cs="华文仿宋"/>
              <w:b w:val="0"/>
              <w:bCs/>
              <w:sz w:val="30"/>
              <w:szCs w:val="30"/>
            </w:rPr>
            <w:fldChar w:fldCharType="begin"/>
          </w:r>
          <w:r>
            <w:rPr>
              <w:rFonts w:hint="eastAsia" w:ascii="华文仿宋" w:hAnsi="华文仿宋" w:eastAsia="华文仿宋" w:cs="华文仿宋"/>
              <w:b w:val="0"/>
              <w:bCs/>
              <w:sz w:val="30"/>
              <w:szCs w:val="30"/>
            </w:rPr>
            <w:instrText xml:space="preserve"> PAGEREF _Toc30934 \h </w:instrText>
          </w:r>
          <w:r>
            <w:rPr>
              <w:rFonts w:hint="eastAsia" w:ascii="华文仿宋" w:hAnsi="华文仿宋" w:eastAsia="华文仿宋" w:cs="华文仿宋"/>
              <w:b w:val="0"/>
              <w:bCs/>
              <w:sz w:val="30"/>
              <w:szCs w:val="30"/>
            </w:rPr>
            <w:fldChar w:fldCharType="separate"/>
          </w:r>
          <w:r>
            <w:rPr>
              <w:rFonts w:hint="eastAsia" w:ascii="华文仿宋" w:hAnsi="华文仿宋" w:eastAsia="华文仿宋" w:cs="华文仿宋"/>
              <w:b w:val="0"/>
              <w:bCs/>
              <w:sz w:val="30"/>
              <w:szCs w:val="30"/>
            </w:rPr>
            <w:t>15</w:t>
          </w:r>
          <w:r>
            <w:rPr>
              <w:rFonts w:hint="eastAsia" w:ascii="华文仿宋" w:hAnsi="华文仿宋" w:eastAsia="华文仿宋" w:cs="华文仿宋"/>
              <w:b w:val="0"/>
              <w:bCs/>
              <w:sz w:val="30"/>
              <w:szCs w:val="30"/>
            </w:rPr>
            <w:fldChar w:fldCharType="end"/>
          </w:r>
          <w:r>
            <w:rPr>
              <w:rFonts w:hint="eastAsia" w:ascii="华文仿宋" w:hAnsi="华文仿宋" w:eastAsia="华文仿宋" w:cs="华文仿宋"/>
              <w:b w:val="0"/>
              <w:bCs/>
              <w:sz w:val="30"/>
              <w:szCs w:val="30"/>
            </w:rPr>
            <w:fldChar w:fldCharType="end"/>
          </w:r>
        </w:p>
        <w:p>
          <w:pPr>
            <w:pStyle w:val="29"/>
            <w:tabs>
              <w:tab w:val="right" w:leader="dot" w:pos="9184"/>
            </w:tabs>
            <w:rPr>
              <w:rFonts w:hint="eastAsia" w:ascii="华文仿宋" w:hAnsi="华文仿宋" w:eastAsia="华文仿宋" w:cs="华文仿宋"/>
              <w:b w:val="0"/>
              <w:bCs/>
              <w:sz w:val="30"/>
              <w:szCs w:val="30"/>
            </w:rPr>
          </w:pPr>
          <w:r>
            <w:rPr>
              <w:rFonts w:hint="eastAsia" w:ascii="华文仿宋" w:hAnsi="华文仿宋" w:eastAsia="华文仿宋" w:cs="华文仿宋"/>
              <w:b w:val="0"/>
              <w:bCs/>
              <w:sz w:val="30"/>
              <w:szCs w:val="30"/>
            </w:rPr>
            <w:fldChar w:fldCharType="begin"/>
          </w:r>
          <w:r>
            <w:rPr>
              <w:rFonts w:hint="eastAsia" w:ascii="华文仿宋" w:hAnsi="华文仿宋" w:eastAsia="华文仿宋" w:cs="华文仿宋"/>
              <w:b w:val="0"/>
              <w:bCs/>
              <w:sz w:val="30"/>
              <w:szCs w:val="30"/>
            </w:rPr>
            <w:instrText xml:space="preserve"> HYPERLINK \l _Toc24120 </w:instrText>
          </w:r>
          <w:r>
            <w:rPr>
              <w:rFonts w:hint="eastAsia" w:ascii="华文仿宋" w:hAnsi="华文仿宋" w:eastAsia="华文仿宋" w:cs="华文仿宋"/>
              <w:b w:val="0"/>
              <w:bCs/>
              <w:sz w:val="30"/>
              <w:szCs w:val="30"/>
            </w:rPr>
            <w:fldChar w:fldCharType="separate"/>
          </w:r>
          <w:r>
            <w:rPr>
              <w:rFonts w:hint="eastAsia" w:ascii="华文仿宋" w:hAnsi="华文仿宋" w:eastAsia="华文仿宋" w:cs="华文仿宋"/>
              <w:b w:val="0"/>
              <w:bCs/>
              <w:sz w:val="30"/>
              <w:szCs w:val="30"/>
              <w:highlight w:val="white"/>
            </w:rPr>
            <w:t>（十一）政府采购支出说明</w:t>
          </w:r>
          <w:r>
            <w:rPr>
              <w:rFonts w:hint="eastAsia" w:ascii="华文仿宋" w:hAnsi="华文仿宋" w:eastAsia="华文仿宋" w:cs="华文仿宋"/>
              <w:b w:val="0"/>
              <w:bCs/>
              <w:sz w:val="30"/>
              <w:szCs w:val="30"/>
            </w:rPr>
            <w:tab/>
          </w:r>
          <w:r>
            <w:rPr>
              <w:rFonts w:hint="eastAsia" w:ascii="华文仿宋" w:hAnsi="华文仿宋" w:eastAsia="华文仿宋" w:cs="华文仿宋"/>
              <w:b w:val="0"/>
              <w:bCs/>
              <w:sz w:val="30"/>
              <w:szCs w:val="30"/>
            </w:rPr>
            <w:fldChar w:fldCharType="begin"/>
          </w:r>
          <w:r>
            <w:rPr>
              <w:rFonts w:hint="eastAsia" w:ascii="华文仿宋" w:hAnsi="华文仿宋" w:eastAsia="华文仿宋" w:cs="华文仿宋"/>
              <w:b w:val="0"/>
              <w:bCs/>
              <w:sz w:val="30"/>
              <w:szCs w:val="30"/>
            </w:rPr>
            <w:instrText xml:space="preserve"> PAGEREF _Toc24120 \h </w:instrText>
          </w:r>
          <w:r>
            <w:rPr>
              <w:rFonts w:hint="eastAsia" w:ascii="华文仿宋" w:hAnsi="华文仿宋" w:eastAsia="华文仿宋" w:cs="华文仿宋"/>
              <w:b w:val="0"/>
              <w:bCs/>
              <w:sz w:val="30"/>
              <w:szCs w:val="30"/>
            </w:rPr>
            <w:fldChar w:fldCharType="separate"/>
          </w:r>
          <w:r>
            <w:rPr>
              <w:rFonts w:hint="eastAsia" w:ascii="华文仿宋" w:hAnsi="华文仿宋" w:eastAsia="华文仿宋" w:cs="华文仿宋"/>
              <w:b w:val="0"/>
              <w:bCs/>
              <w:sz w:val="30"/>
              <w:szCs w:val="30"/>
            </w:rPr>
            <w:t>16</w:t>
          </w:r>
          <w:r>
            <w:rPr>
              <w:rFonts w:hint="eastAsia" w:ascii="华文仿宋" w:hAnsi="华文仿宋" w:eastAsia="华文仿宋" w:cs="华文仿宋"/>
              <w:b w:val="0"/>
              <w:bCs/>
              <w:sz w:val="30"/>
              <w:szCs w:val="30"/>
            </w:rPr>
            <w:fldChar w:fldCharType="end"/>
          </w:r>
          <w:r>
            <w:rPr>
              <w:rFonts w:hint="eastAsia" w:ascii="华文仿宋" w:hAnsi="华文仿宋" w:eastAsia="华文仿宋" w:cs="华文仿宋"/>
              <w:b w:val="0"/>
              <w:bCs/>
              <w:sz w:val="30"/>
              <w:szCs w:val="30"/>
            </w:rPr>
            <w:fldChar w:fldCharType="end"/>
          </w:r>
        </w:p>
        <w:p>
          <w:pPr>
            <w:pStyle w:val="29"/>
            <w:tabs>
              <w:tab w:val="right" w:leader="dot" w:pos="9184"/>
            </w:tabs>
            <w:rPr>
              <w:rFonts w:hint="eastAsia" w:ascii="华文仿宋" w:hAnsi="华文仿宋" w:eastAsia="华文仿宋" w:cs="华文仿宋"/>
              <w:b w:val="0"/>
              <w:bCs/>
              <w:sz w:val="30"/>
              <w:szCs w:val="30"/>
            </w:rPr>
          </w:pPr>
          <w:r>
            <w:rPr>
              <w:rFonts w:hint="eastAsia" w:ascii="华文仿宋" w:hAnsi="华文仿宋" w:eastAsia="华文仿宋" w:cs="华文仿宋"/>
              <w:b w:val="0"/>
              <w:bCs/>
              <w:sz w:val="30"/>
              <w:szCs w:val="30"/>
            </w:rPr>
            <w:fldChar w:fldCharType="begin"/>
          </w:r>
          <w:r>
            <w:rPr>
              <w:rFonts w:hint="eastAsia" w:ascii="华文仿宋" w:hAnsi="华文仿宋" w:eastAsia="华文仿宋" w:cs="华文仿宋"/>
              <w:b w:val="0"/>
              <w:bCs/>
              <w:sz w:val="30"/>
              <w:szCs w:val="30"/>
            </w:rPr>
            <w:instrText xml:space="preserve"> HYPERLINK \l _Toc9235 </w:instrText>
          </w:r>
          <w:r>
            <w:rPr>
              <w:rFonts w:hint="eastAsia" w:ascii="华文仿宋" w:hAnsi="华文仿宋" w:eastAsia="华文仿宋" w:cs="华文仿宋"/>
              <w:b w:val="0"/>
              <w:bCs/>
              <w:sz w:val="30"/>
              <w:szCs w:val="30"/>
            </w:rPr>
            <w:fldChar w:fldCharType="separate"/>
          </w:r>
          <w:r>
            <w:rPr>
              <w:rFonts w:hint="eastAsia" w:ascii="华文仿宋" w:hAnsi="华文仿宋" w:eastAsia="华文仿宋" w:cs="华文仿宋"/>
              <w:b w:val="0"/>
              <w:bCs/>
              <w:sz w:val="30"/>
              <w:szCs w:val="30"/>
              <w:highlight w:val="white"/>
            </w:rPr>
            <w:t>（十二）国有资产占有情况说明</w:t>
          </w:r>
          <w:r>
            <w:rPr>
              <w:rFonts w:hint="eastAsia" w:ascii="华文仿宋" w:hAnsi="华文仿宋" w:eastAsia="华文仿宋" w:cs="华文仿宋"/>
              <w:b w:val="0"/>
              <w:bCs/>
              <w:sz w:val="30"/>
              <w:szCs w:val="30"/>
            </w:rPr>
            <w:tab/>
          </w:r>
          <w:r>
            <w:rPr>
              <w:rFonts w:hint="eastAsia" w:ascii="华文仿宋" w:hAnsi="华文仿宋" w:eastAsia="华文仿宋" w:cs="华文仿宋"/>
              <w:b w:val="0"/>
              <w:bCs/>
              <w:sz w:val="30"/>
              <w:szCs w:val="30"/>
            </w:rPr>
            <w:fldChar w:fldCharType="begin"/>
          </w:r>
          <w:r>
            <w:rPr>
              <w:rFonts w:hint="eastAsia" w:ascii="华文仿宋" w:hAnsi="华文仿宋" w:eastAsia="华文仿宋" w:cs="华文仿宋"/>
              <w:b w:val="0"/>
              <w:bCs/>
              <w:sz w:val="30"/>
              <w:szCs w:val="30"/>
            </w:rPr>
            <w:instrText xml:space="preserve"> PAGEREF _Toc9235 \h </w:instrText>
          </w:r>
          <w:r>
            <w:rPr>
              <w:rFonts w:hint="eastAsia" w:ascii="华文仿宋" w:hAnsi="华文仿宋" w:eastAsia="华文仿宋" w:cs="华文仿宋"/>
              <w:b w:val="0"/>
              <w:bCs/>
              <w:sz w:val="30"/>
              <w:szCs w:val="30"/>
            </w:rPr>
            <w:fldChar w:fldCharType="separate"/>
          </w:r>
          <w:r>
            <w:rPr>
              <w:rFonts w:hint="eastAsia" w:ascii="华文仿宋" w:hAnsi="华文仿宋" w:eastAsia="华文仿宋" w:cs="华文仿宋"/>
              <w:b w:val="0"/>
              <w:bCs/>
              <w:sz w:val="30"/>
              <w:szCs w:val="30"/>
            </w:rPr>
            <w:t>16</w:t>
          </w:r>
          <w:r>
            <w:rPr>
              <w:rFonts w:hint="eastAsia" w:ascii="华文仿宋" w:hAnsi="华文仿宋" w:eastAsia="华文仿宋" w:cs="华文仿宋"/>
              <w:b w:val="0"/>
              <w:bCs/>
              <w:sz w:val="30"/>
              <w:szCs w:val="30"/>
            </w:rPr>
            <w:fldChar w:fldCharType="end"/>
          </w:r>
          <w:r>
            <w:rPr>
              <w:rFonts w:hint="eastAsia" w:ascii="华文仿宋" w:hAnsi="华文仿宋" w:eastAsia="华文仿宋" w:cs="华文仿宋"/>
              <w:b w:val="0"/>
              <w:bCs/>
              <w:sz w:val="30"/>
              <w:szCs w:val="30"/>
            </w:rPr>
            <w:fldChar w:fldCharType="end"/>
          </w:r>
        </w:p>
        <w:p>
          <w:pPr>
            <w:pStyle w:val="29"/>
            <w:tabs>
              <w:tab w:val="right" w:leader="dot" w:pos="9184"/>
            </w:tabs>
            <w:rPr>
              <w:rFonts w:hint="eastAsia" w:ascii="华文仿宋" w:hAnsi="华文仿宋" w:eastAsia="华文仿宋" w:cs="华文仿宋"/>
              <w:b w:val="0"/>
              <w:bCs/>
              <w:sz w:val="30"/>
              <w:szCs w:val="30"/>
            </w:rPr>
          </w:pPr>
          <w:r>
            <w:rPr>
              <w:rFonts w:hint="eastAsia" w:ascii="华文仿宋" w:hAnsi="华文仿宋" w:eastAsia="华文仿宋" w:cs="华文仿宋"/>
              <w:b w:val="0"/>
              <w:bCs/>
              <w:sz w:val="30"/>
              <w:szCs w:val="30"/>
            </w:rPr>
            <w:fldChar w:fldCharType="begin"/>
          </w:r>
          <w:r>
            <w:rPr>
              <w:rFonts w:hint="eastAsia" w:ascii="华文仿宋" w:hAnsi="华文仿宋" w:eastAsia="华文仿宋" w:cs="华文仿宋"/>
              <w:b w:val="0"/>
              <w:bCs/>
              <w:sz w:val="30"/>
              <w:szCs w:val="30"/>
            </w:rPr>
            <w:instrText xml:space="preserve"> HYPERLINK \l _Toc29486 </w:instrText>
          </w:r>
          <w:r>
            <w:rPr>
              <w:rFonts w:hint="eastAsia" w:ascii="华文仿宋" w:hAnsi="华文仿宋" w:eastAsia="华文仿宋" w:cs="华文仿宋"/>
              <w:b w:val="0"/>
              <w:bCs/>
              <w:sz w:val="30"/>
              <w:szCs w:val="30"/>
            </w:rPr>
            <w:fldChar w:fldCharType="separate"/>
          </w:r>
          <w:r>
            <w:rPr>
              <w:rFonts w:hint="eastAsia" w:ascii="华文仿宋" w:hAnsi="华文仿宋" w:eastAsia="华文仿宋" w:cs="华文仿宋"/>
              <w:b w:val="0"/>
              <w:bCs/>
              <w:sz w:val="30"/>
              <w:szCs w:val="30"/>
              <w:highlight w:val="white"/>
            </w:rPr>
            <w:t>（十三）预算绩效情况说明</w:t>
          </w:r>
          <w:r>
            <w:rPr>
              <w:rFonts w:hint="eastAsia" w:ascii="华文仿宋" w:hAnsi="华文仿宋" w:eastAsia="华文仿宋" w:cs="华文仿宋"/>
              <w:b w:val="0"/>
              <w:bCs/>
              <w:sz w:val="30"/>
              <w:szCs w:val="30"/>
            </w:rPr>
            <w:tab/>
          </w:r>
          <w:r>
            <w:rPr>
              <w:rFonts w:hint="eastAsia" w:ascii="华文仿宋" w:hAnsi="华文仿宋" w:eastAsia="华文仿宋" w:cs="华文仿宋"/>
              <w:b w:val="0"/>
              <w:bCs/>
              <w:sz w:val="30"/>
              <w:szCs w:val="30"/>
            </w:rPr>
            <w:fldChar w:fldCharType="begin"/>
          </w:r>
          <w:r>
            <w:rPr>
              <w:rFonts w:hint="eastAsia" w:ascii="华文仿宋" w:hAnsi="华文仿宋" w:eastAsia="华文仿宋" w:cs="华文仿宋"/>
              <w:b w:val="0"/>
              <w:bCs/>
              <w:sz w:val="30"/>
              <w:szCs w:val="30"/>
            </w:rPr>
            <w:instrText xml:space="preserve"> PAGEREF _Toc29486 \h </w:instrText>
          </w:r>
          <w:r>
            <w:rPr>
              <w:rFonts w:hint="eastAsia" w:ascii="华文仿宋" w:hAnsi="华文仿宋" w:eastAsia="华文仿宋" w:cs="华文仿宋"/>
              <w:b w:val="0"/>
              <w:bCs/>
              <w:sz w:val="30"/>
              <w:szCs w:val="30"/>
            </w:rPr>
            <w:fldChar w:fldCharType="separate"/>
          </w:r>
          <w:r>
            <w:rPr>
              <w:rFonts w:hint="eastAsia" w:ascii="华文仿宋" w:hAnsi="华文仿宋" w:eastAsia="华文仿宋" w:cs="华文仿宋"/>
              <w:b w:val="0"/>
              <w:bCs/>
              <w:sz w:val="30"/>
              <w:szCs w:val="30"/>
            </w:rPr>
            <w:t>16</w:t>
          </w:r>
          <w:r>
            <w:rPr>
              <w:rFonts w:hint="eastAsia" w:ascii="华文仿宋" w:hAnsi="华文仿宋" w:eastAsia="华文仿宋" w:cs="华文仿宋"/>
              <w:b w:val="0"/>
              <w:bCs/>
              <w:sz w:val="30"/>
              <w:szCs w:val="30"/>
            </w:rPr>
            <w:fldChar w:fldCharType="end"/>
          </w:r>
          <w:r>
            <w:rPr>
              <w:rFonts w:hint="eastAsia" w:ascii="华文仿宋" w:hAnsi="华文仿宋" w:eastAsia="华文仿宋" w:cs="华文仿宋"/>
              <w:b w:val="0"/>
              <w:bCs/>
              <w:sz w:val="30"/>
              <w:szCs w:val="30"/>
            </w:rPr>
            <w:fldChar w:fldCharType="end"/>
          </w:r>
        </w:p>
        <w:p>
          <w:pPr>
            <w:pStyle w:val="28"/>
            <w:tabs>
              <w:tab w:val="right" w:leader="dot" w:pos="9184"/>
            </w:tabs>
            <w:rPr>
              <w:b/>
            </w:rPr>
          </w:pPr>
          <w:r>
            <w:rPr>
              <w:rFonts w:hint="eastAsia" w:ascii="华文仿宋" w:hAnsi="华文仿宋" w:eastAsia="华文仿宋" w:cs="华文仿宋"/>
              <w:b w:val="0"/>
              <w:bCs/>
              <w:sz w:val="30"/>
              <w:szCs w:val="30"/>
            </w:rPr>
            <w:fldChar w:fldCharType="begin"/>
          </w:r>
          <w:r>
            <w:rPr>
              <w:rFonts w:hint="eastAsia" w:ascii="华文仿宋" w:hAnsi="华文仿宋" w:eastAsia="华文仿宋" w:cs="华文仿宋"/>
              <w:b w:val="0"/>
              <w:bCs/>
              <w:sz w:val="30"/>
              <w:szCs w:val="30"/>
            </w:rPr>
            <w:instrText xml:space="preserve"> HYPERLINK \l _Toc23494 </w:instrText>
          </w:r>
          <w:r>
            <w:rPr>
              <w:rFonts w:hint="eastAsia" w:ascii="华文仿宋" w:hAnsi="华文仿宋" w:eastAsia="华文仿宋" w:cs="华文仿宋"/>
              <w:b w:val="0"/>
              <w:bCs/>
              <w:sz w:val="30"/>
              <w:szCs w:val="30"/>
            </w:rPr>
            <w:fldChar w:fldCharType="separate"/>
          </w:r>
          <w:r>
            <w:rPr>
              <w:rFonts w:hint="eastAsia" w:ascii="华文仿宋" w:hAnsi="华文仿宋" w:eastAsia="华文仿宋" w:cs="华文仿宋"/>
              <w:b w:val="0"/>
              <w:bCs/>
              <w:sz w:val="30"/>
              <w:szCs w:val="30"/>
              <w:highlight w:val="white"/>
            </w:rPr>
            <w:t>四、名词解释</w:t>
          </w:r>
          <w:r>
            <w:rPr>
              <w:rFonts w:hint="eastAsia" w:ascii="华文仿宋" w:hAnsi="华文仿宋" w:eastAsia="华文仿宋" w:cs="华文仿宋"/>
              <w:b w:val="0"/>
              <w:bCs/>
              <w:sz w:val="30"/>
              <w:szCs w:val="30"/>
            </w:rPr>
            <w:tab/>
          </w:r>
          <w:r>
            <w:rPr>
              <w:rFonts w:hint="eastAsia" w:ascii="华文仿宋" w:hAnsi="华文仿宋" w:eastAsia="华文仿宋" w:cs="华文仿宋"/>
              <w:b w:val="0"/>
              <w:bCs/>
              <w:sz w:val="30"/>
              <w:szCs w:val="30"/>
            </w:rPr>
            <w:fldChar w:fldCharType="begin"/>
          </w:r>
          <w:r>
            <w:rPr>
              <w:rFonts w:hint="eastAsia" w:ascii="华文仿宋" w:hAnsi="华文仿宋" w:eastAsia="华文仿宋" w:cs="华文仿宋"/>
              <w:b w:val="0"/>
              <w:bCs/>
              <w:sz w:val="30"/>
              <w:szCs w:val="30"/>
            </w:rPr>
            <w:instrText xml:space="preserve"> PAGEREF _Toc23494 \h </w:instrText>
          </w:r>
          <w:r>
            <w:rPr>
              <w:rFonts w:hint="eastAsia" w:ascii="华文仿宋" w:hAnsi="华文仿宋" w:eastAsia="华文仿宋" w:cs="华文仿宋"/>
              <w:b w:val="0"/>
              <w:bCs/>
              <w:sz w:val="30"/>
              <w:szCs w:val="30"/>
            </w:rPr>
            <w:fldChar w:fldCharType="separate"/>
          </w:r>
          <w:r>
            <w:rPr>
              <w:rFonts w:hint="eastAsia" w:ascii="华文仿宋" w:hAnsi="华文仿宋" w:eastAsia="华文仿宋" w:cs="华文仿宋"/>
              <w:b w:val="0"/>
              <w:bCs/>
              <w:sz w:val="30"/>
              <w:szCs w:val="30"/>
            </w:rPr>
            <w:t>19</w:t>
          </w:r>
          <w:r>
            <w:rPr>
              <w:rFonts w:hint="eastAsia" w:ascii="华文仿宋" w:hAnsi="华文仿宋" w:eastAsia="华文仿宋" w:cs="华文仿宋"/>
              <w:b w:val="0"/>
              <w:bCs/>
              <w:sz w:val="30"/>
              <w:szCs w:val="30"/>
            </w:rPr>
            <w:fldChar w:fldCharType="end"/>
          </w:r>
          <w:r>
            <w:rPr>
              <w:rFonts w:hint="eastAsia" w:ascii="华文仿宋" w:hAnsi="华文仿宋" w:eastAsia="华文仿宋" w:cs="华文仿宋"/>
              <w:b w:val="0"/>
              <w:bCs/>
              <w:sz w:val="30"/>
              <w:szCs w:val="30"/>
            </w:rPr>
            <w:fldChar w:fldCharType="end"/>
          </w:r>
        </w:p>
        <w:p>
          <w:pPr>
            <w:rPr>
              <w:b/>
            </w:rPr>
            <w:sectPr>
              <w:footerReference r:id="rId3" w:type="default"/>
              <w:pgSz w:w="11906" w:h="16838"/>
              <w:pgMar w:top="1440" w:right="1361" w:bottom="1440" w:left="1361" w:header="851" w:footer="992" w:gutter="0"/>
              <w:pgNumType w:start="1"/>
              <w:cols w:space="425" w:num="1"/>
              <w:docGrid w:type="lines" w:linePitch="312" w:charSpace="0"/>
            </w:sectPr>
          </w:pPr>
        </w:p>
        <w:p>
          <w:r>
            <w:rPr>
              <w:b/>
            </w:rPr>
            <w:fldChar w:fldCharType="end"/>
          </w:r>
        </w:p>
      </w:sdtContent>
    </w:sdt>
    <w:p>
      <w:pPr>
        <w:pStyle w:val="22"/>
        <w:keepNext w:val="0"/>
        <w:keepLines w:val="0"/>
        <w:pageBreakBefore w:val="0"/>
        <w:kinsoku/>
        <w:wordWrap/>
        <w:overflowPunct/>
        <w:topLinePunct w:val="0"/>
        <w:autoSpaceDE/>
        <w:autoSpaceDN/>
        <w:bidi w:val="0"/>
        <w:adjustRightInd/>
        <w:snapToGrid/>
        <w:ind w:firstLine="601" w:firstLineChars="200"/>
        <w:textAlignment w:val="auto"/>
        <w:outlineLvl w:val="0"/>
      </w:pPr>
      <w:bookmarkStart w:id="1" w:name="_Toc14343"/>
      <w:r>
        <w:rPr>
          <w:rFonts w:hint="eastAsia"/>
        </w:rPr>
        <w:t>一、遂昌县市场监督管理局概况</w:t>
      </w:r>
      <w:bookmarkEnd w:id="1"/>
    </w:p>
    <w:p>
      <w:pPr>
        <w:pStyle w:val="23"/>
        <w:keepNext w:val="0"/>
        <w:keepLines w:val="0"/>
        <w:pageBreakBefore w:val="0"/>
        <w:kinsoku/>
        <w:wordWrap/>
        <w:overflowPunct/>
        <w:topLinePunct w:val="0"/>
        <w:autoSpaceDE/>
        <w:autoSpaceDN/>
        <w:bidi w:val="0"/>
        <w:adjustRightInd/>
        <w:snapToGrid/>
        <w:ind w:firstLine="601" w:firstLineChars="200"/>
        <w:textAlignment w:val="auto"/>
        <w:outlineLvl w:val="1"/>
      </w:pPr>
      <w:bookmarkStart w:id="2" w:name="_Toc20125"/>
      <w:r>
        <w:rPr>
          <w:rFonts w:hint="eastAsia"/>
        </w:rPr>
        <w:t>（一）部门职责</w:t>
      </w:r>
      <w:bookmarkEnd w:id="2"/>
    </w:p>
    <w:p>
      <w:pPr>
        <w:keepNext w:val="0"/>
        <w:keepLines w:val="0"/>
        <w:pageBreakBefore w:val="0"/>
        <w:kinsoku/>
        <w:wordWrap/>
        <w:overflowPunct/>
        <w:topLinePunct w:val="0"/>
        <w:autoSpaceDE/>
        <w:autoSpaceDN/>
        <w:bidi w:val="0"/>
        <w:adjustRightInd/>
        <w:snapToGrid/>
        <w:ind w:firstLine="600" w:firstLineChars="200"/>
        <w:textAlignment w:val="auto"/>
        <w:rPr>
          <w:rFonts w:ascii="华文仿宋" w:hAnsi="华文仿宋" w:eastAsia="华文仿宋"/>
          <w:sz w:val="30"/>
          <w:szCs w:val="30"/>
        </w:rPr>
      </w:pPr>
      <w:r>
        <w:rPr>
          <w:rFonts w:hint="eastAsia" w:ascii="华文仿宋" w:hAnsi="华文仿宋" w:eastAsia="华文仿宋"/>
          <w:sz w:val="30"/>
          <w:szCs w:val="30"/>
        </w:rPr>
        <w:t>根据中共遂昌县委办公室、遂昌县人民政府办公室《关于印发</w:t>
      </w:r>
      <w:r>
        <w:rPr>
          <w:rFonts w:ascii="华文仿宋" w:hAnsi="华文仿宋" w:eastAsia="华文仿宋"/>
          <w:sz w:val="30"/>
          <w:szCs w:val="30"/>
        </w:rPr>
        <w:t>&lt;</w:t>
      </w:r>
      <w:r>
        <w:rPr>
          <w:rFonts w:hint="eastAsia" w:ascii="华文仿宋" w:hAnsi="华文仿宋" w:eastAsia="华文仿宋"/>
          <w:sz w:val="30"/>
          <w:szCs w:val="30"/>
        </w:rPr>
        <w:t>遂昌县市场监督管理局职能配置、内设机构和人员编制规定</w:t>
      </w:r>
      <w:r>
        <w:rPr>
          <w:rFonts w:ascii="华文仿宋" w:hAnsi="华文仿宋" w:eastAsia="华文仿宋"/>
          <w:sz w:val="30"/>
          <w:szCs w:val="30"/>
        </w:rPr>
        <w:t>&gt;</w:t>
      </w:r>
      <w:r>
        <w:rPr>
          <w:rFonts w:hint="eastAsia" w:ascii="华文仿宋" w:hAnsi="华文仿宋" w:eastAsia="华文仿宋"/>
          <w:sz w:val="30"/>
          <w:szCs w:val="30"/>
        </w:rPr>
        <w:t>的通知》（遂委办发〔</w:t>
      </w:r>
      <w:r>
        <w:rPr>
          <w:rFonts w:ascii="华文仿宋" w:hAnsi="华文仿宋" w:eastAsia="华文仿宋"/>
          <w:sz w:val="30"/>
          <w:szCs w:val="30"/>
        </w:rPr>
        <w:t>2019</w:t>
      </w:r>
      <w:r>
        <w:rPr>
          <w:rFonts w:hint="eastAsia" w:ascii="华文仿宋" w:hAnsi="华文仿宋" w:eastAsia="华文仿宋"/>
          <w:sz w:val="30"/>
          <w:szCs w:val="30"/>
        </w:rPr>
        <w:t>〕</w:t>
      </w:r>
      <w:r>
        <w:rPr>
          <w:rFonts w:ascii="华文仿宋" w:hAnsi="华文仿宋" w:eastAsia="华文仿宋"/>
          <w:sz w:val="30"/>
          <w:szCs w:val="30"/>
        </w:rPr>
        <w:t>44</w:t>
      </w:r>
      <w:r>
        <w:rPr>
          <w:rFonts w:hint="eastAsia" w:ascii="华文仿宋" w:hAnsi="华文仿宋" w:eastAsia="华文仿宋"/>
          <w:sz w:val="30"/>
          <w:szCs w:val="30"/>
        </w:rPr>
        <w:t>号）文件，遂昌县市场监督管理局（以下简称县市监局）是主管全县市场综合监督管理、市场主体统一登记注册、市场监管综合行政执法、反垄断、食品安全监督管理、产品质量安全监督管理、特种设备安全监督管理、药品医疗器械和化妆品安全监督管理、食盐质量安全管理与监督执法、检验检测、质量管理、标准化管理、知识产权监督管理等工作的县政府工作部门，其主要职责是：</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1.负责市场综合监督管理。组织实施国家有关市场监督管理法律法规，制定有关政策、标准。组织实施质量强县战略、食品安全战略、标准化战略和知识产权战略，拟订并组织实施有关市场监督管理的规范性文件、规划，规范和维护市场秩序，营造诚实守信、公平竞争的市场环境。</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2.负责市场主体统一登记注册。指导各类企业、农民专业合作社和从事经营活动的单位、个体工商户以及外国（地区）企业常驻代表机构等市场主体的登记注册工作，扶持个体、民营经济发展。</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3.负责市场主体信息公示和共享机制建设。依法公示和共享有关信息，加强信用监管，推动市场主体信用体系建设。</w:t>
      </w:r>
      <w:r>
        <w:rPr>
          <w:rFonts w:ascii="华文仿宋" w:hAnsi="华文仿宋" w:eastAsia="华文仿宋"/>
          <w:sz w:val="30"/>
          <w:szCs w:val="30"/>
        </w:rPr>
        <w:t xml:space="preserve"> </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4.负责组织市场监管综合行政执法工作。贯彻落实中央和省关于市场监管综合行政执法改革相关文件精神，负责推进全县市场监管综合行政执法改革工作。负责全县市场监管综合行政执法队伍建设，会同有关部门将商务执法、盐业执法整合纳入市场监管执法，规范市场监管行政执法行为。组织查处重大违法案件。</w:t>
      </w:r>
      <w:r>
        <w:rPr>
          <w:rFonts w:ascii="华文仿宋" w:hAnsi="华文仿宋" w:eastAsia="华文仿宋"/>
          <w:sz w:val="30"/>
          <w:szCs w:val="30"/>
        </w:rPr>
        <w:t xml:space="preserve"> </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5.负责反垄断相关工作。落实竞争政策，负责实施公平竞争审查制度，根据授权，承担相关反垄断执法工作。指导遂昌企业在国外的反垄断应诉工作。</w:t>
      </w:r>
      <w:r>
        <w:rPr>
          <w:rFonts w:ascii="华文仿宋" w:hAnsi="华文仿宋" w:eastAsia="华文仿宋"/>
          <w:sz w:val="30"/>
          <w:szCs w:val="30"/>
        </w:rPr>
        <w:t xml:space="preserve"> </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6.负责监督管理市场秩序。依法监督管理市场交易、网络商品交易及有关服务行为。组织查处价格收费违法违规、不正当竞争、违法直销、传销、侵犯商标专利知识产权和制售假冒伪劣行为。参与制定商品交易市场发展规划并与相关部门建立沟通协作机制，规范商品交易市场、农贸市场秩序，指导商品交易市场提升发展和农贸市场改造提升工作。指导广告业发展，监督管理广告活动。指导消费维权工作和消费环境建设。指导和查处无照生产经营和相关无证生产经营行为。</w:t>
      </w:r>
      <w:r>
        <w:rPr>
          <w:rFonts w:ascii="华文仿宋" w:hAnsi="华文仿宋" w:eastAsia="华文仿宋"/>
          <w:sz w:val="30"/>
          <w:szCs w:val="30"/>
        </w:rPr>
        <w:t xml:space="preserve"> </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7.负责质量管理。实施质量发展的制度措施。协调推进区域品牌建设，统筹质量基础设施建设与应用，会同有关部门组织实施重大工程设备质量监理制度，组织重大质量事故调查，统一实施缺陷产品召回制度，监督管理产品防伪工作。</w:t>
      </w:r>
      <w:r>
        <w:rPr>
          <w:rFonts w:ascii="华文仿宋" w:hAnsi="华文仿宋" w:eastAsia="华文仿宋"/>
          <w:sz w:val="30"/>
          <w:szCs w:val="30"/>
        </w:rPr>
        <w:t xml:space="preserve"> </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8.负责产品质量安全监督管理。管理产品质量安全风险监控、监督抽查工作，负责实施质量分级制度、质量安全追溯制度。负责实施工业产品生产许可管理。负责纤维质量监督工作。</w:t>
      </w:r>
      <w:r>
        <w:rPr>
          <w:rFonts w:ascii="华文仿宋" w:hAnsi="华文仿宋" w:eastAsia="华文仿宋"/>
          <w:sz w:val="30"/>
          <w:szCs w:val="30"/>
        </w:rPr>
        <w:t xml:space="preserve"> </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9.负责特种设备安全监督管理。综合管理特种设备安全监察、监督工作，监督检查高耗能特种设备节能标准和锅炉环境保护标准的执行情况。</w:t>
      </w:r>
      <w:r>
        <w:rPr>
          <w:rFonts w:ascii="华文仿宋" w:hAnsi="华文仿宋" w:eastAsia="华文仿宋"/>
          <w:sz w:val="30"/>
          <w:szCs w:val="30"/>
        </w:rPr>
        <w:t xml:space="preserve"> </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10.负责食品安全监督管理综合协调。组织制定食品安全重大政策并组织实施。负责食品安全应急体系建设，组织重大食品安全事件应急处置和调查处理工作。建立落实食品安全重要信息直报制度。承担县食品安全委员会日常工作。</w:t>
      </w:r>
      <w:r>
        <w:rPr>
          <w:rFonts w:ascii="华文仿宋" w:hAnsi="华文仿宋" w:eastAsia="华文仿宋"/>
          <w:sz w:val="30"/>
          <w:szCs w:val="30"/>
        </w:rPr>
        <w:t xml:space="preserve"> </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11.负责食品安全监督管理。建立实施覆盖食品生产、流通、消费全过程的监督检查制度和隐患排查治理机制，防范区域性、系统性食品安全风险。推行食品生产经营者落实主体责任机制，健全食品安全追溯体系。组织开展食品安全监督抽检、风险监测、核查处置和风险预警、风险交流工作。组织实施特殊食品注册相关工作、备案和监督管理。</w:t>
      </w:r>
      <w:r>
        <w:rPr>
          <w:rFonts w:ascii="华文仿宋" w:hAnsi="华文仿宋" w:eastAsia="华文仿宋"/>
          <w:sz w:val="30"/>
          <w:szCs w:val="30"/>
        </w:rPr>
        <w:t xml:space="preserve"> </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12.负责管理计量工作。推行法定计量单位和国家计量制度，管理计量器具及量值传递和比对工作。规范、监督商品量和市场计量行为。</w:t>
      </w:r>
      <w:r>
        <w:rPr>
          <w:rFonts w:ascii="华文仿宋" w:hAnsi="华文仿宋" w:eastAsia="华文仿宋"/>
          <w:sz w:val="30"/>
          <w:szCs w:val="30"/>
        </w:rPr>
        <w:t xml:space="preserve"> </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13.负责管理标准化工作。组织协调并指导推动各部门、各行业的标准化工作。依法组织制定地方标准。依法对标准的实施进行监督。</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14.负责管理检验检测工作。推进检验检测机构改革，规范检验检测市场，完善检验检测体系，指导协调检验检测行业发展。</w:t>
      </w:r>
      <w:r>
        <w:rPr>
          <w:rFonts w:ascii="华文仿宋" w:hAnsi="华文仿宋" w:eastAsia="华文仿宋"/>
          <w:sz w:val="30"/>
          <w:szCs w:val="30"/>
        </w:rPr>
        <w:t xml:space="preserve"> </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15.负责监督和综合协调认证认可工作。组织实施统一的认证认可和合格评定监督管理制度。</w:t>
      </w:r>
      <w:r>
        <w:rPr>
          <w:rFonts w:ascii="华文仿宋" w:hAnsi="华文仿宋" w:eastAsia="华文仿宋"/>
          <w:sz w:val="30"/>
          <w:szCs w:val="30"/>
        </w:rPr>
        <w:t xml:space="preserve"> </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16.负责知识产权监督管理。拟订并组织实施知识产权创造、保护和运用的政策、规划，建设完善知识产权保护体系、公共服务体系，指导商标专利执法，保护知识产权，促进知识产权创造和运用。</w:t>
      </w:r>
      <w:r>
        <w:rPr>
          <w:rFonts w:ascii="华文仿宋" w:hAnsi="华文仿宋" w:eastAsia="华文仿宋"/>
          <w:sz w:val="30"/>
          <w:szCs w:val="30"/>
        </w:rPr>
        <w:t xml:space="preserve"> </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17.负责市场监督管理科技和信息化建设、新闻宣传、交流与合作。按照规定承担应对技术性贸易措施有关工作。</w:t>
      </w:r>
      <w:r>
        <w:rPr>
          <w:rFonts w:ascii="华文仿宋" w:hAnsi="华文仿宋" w:eastAsia="华文仿宋"/>
          <w:sz w:val="30"/>
          <w:szCs w:val="30"/>
        </w:rPr>
        <w:t xml:space="preserve"> </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18.负责药品（含中药、民族药，下同）、医疗器械和化妆品安全监督管理。制定相关政策及规范性文件。组织实施国家鼓励药品、医疗器械、化妆品新技术新产品管理和服务政策。监督实施国家药品、医疗器械和化妆品的标准、技术规范和分类管理制度。监督实施中药饮片炮制规范、医疗机构制剂质量标准和地方药材标准。配合实施国家基本药物制度。</w:t>
      </w:r>
      <w:r>
        <w:rPr>
          <w:rFonts w:ascii="华文仿宋" w:hAnsi="华文仿宋" w:eastAsia="华文仿宋"/>
          <w:sz w:val="30"/>
          <w:szCs w:val="30"/>
        </w:rPr>
        <w:t xml:space="preserve"> </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19.组织开展药品、医疗器械和化妆品注册相关工作。按照规定权限，组织实施药品、医疗器械和化妆品生产环节许可以及药品经营许可，监督实施质量管理规范。指导药品、医疗器械行业生产经营企业做好生态环境保护和污染防治工作。</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20.组织实施药品、医疗器械和化妆品上市后风险管理。组织开展药品不良反应、医疗器械不良事件和化妆品不良反应的监测、评价和处置工作，监督实施产品召回制度。按照规定权限，组织开展药品、医疗器械和化妆品质量抽查检验。依法承担药品、医疗器械和化妆品安全应急管理工作。配合有关部门督促药品、医疗器械、化妆品行业生产经营单位做好安全生产工作。</w:t>
      </w:r>
      <w:r>
        <w:rPr>
          <w:rFonts w:ascii="华文仿宋" w:hAnsi="华文仿宋" w:eastAsia="华文仿宋"/>
          <w:sz w:val="30"/>
          <w:szCs w:val="30"/>
        </w:rPr>
        <w:t xml:space="preserve"> </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21.组织制定检查制度，并依职责组织实施。依职责组织查处药品、医疗器械和化妆品生产经营环节的违法行为。负责药品、医疗器械和化妆品投诉举报的处理工作。推进药品、医疗器械和化妆品专业化、职业化检查员队伍建设。</w:t>
      </w:r>
      <w:r>
        <w:rPr>
          <w:rFonts w:ascii="华文仿宋" w:hAnsi="华文仿宋" w:eastAsia="华文仿宋"/>
          <w:sz w:val="30"/>
          <w:szCs w:val="30"/>
        </w:rPr>
        <w:t xml:space="preserve"> </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22.负责实施执业药师资格准入制度，负责监督执业药师注册工作。</w:t>
      </w:r>
      <w:r>
        <w:rPr>
          <w:rFonts w:ascii="华文仿宋" w:hAnsi="华文仿宋" w:eastAsia="华文仿宋"/>
          <w:sz w:val="30"/>
          <w:szCs w:val="30"/>
        </w:rPr>
        <w:t xml:space="preserve"> </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23.推进全县药品、医疗器械和化妆品安全信用体系和技术支撑体系建设，指导监督检验检测、审评和监测机构业务工作。</w:t>
      </w:r>
      <w:r>
        <w:rPr>
          <w:rFonts w:ascii="华文仿宋" w:hAnsi="华文仿宋" w:eastAsia="华文仿宋"/>
          <w:sz w:val="30"/>
          <w:szCs w:val="30"/>
        </w:rPr>
        <w:t xml:space="preserve"> </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24.负责全县食盐质量安全管理与监督执法。负责落实企业工商登记环节食盐批发企业只减不增的要求。负责依法查处虚假广告和侵权假冒行为。</w:t>
      </w:r>
      <w:r>
        <w:rPr>
          <w:rFonts w:ascii="华文仿宋" w:hAnsi="华文仿宋" w:eastAsia="华文仿宋"/>
          <w:sz w:val="30"/>
          <w:szCs w:val="30"/>
        </w:rPr>
        <w:t xml:space="preserve"> </w:t>
      </w:r>
    </w:p>
    <w:p>
      <w:pPr>
        <w:ind w:firstLine="600" w:firstLineChars="200"/>
        <w:rPr>
          <w:rFonts w:ascii="华文仿宋" w:hAnsi="华文仿宋" w:eastAsia="华文仿宋"/>
          <w:sz w:val="30"/>
          <w:szCs w:val="30"/>
        </w:rPr>
      </w:pPr>
      <w:r>
        <w:rPr>
          <w:rFonts w:hint="eastAsia" w:ascii="华文仿宋" w:hAnsi="华文仿宋" w:eastAsia="华文仿宋"/>
          <w:sz w:val="30"/>
          <w:szCs w:val="30"/>
        </w:rPr>
        <w:t>25.完成县委、县政府交办的其他任务。</w:t>
      </w:r>
    </w:p>
    <w:p>
      <w:pPr>
        <w:pStyle w:val="23"/>
        <w:keepNext w:val="0"/>
        <w:keepLines w:val="0"/>
        <w:pageBreakBefore w:val="0"/>
        <w:kinsoku/>
        <w:wordWrap/>
        <w:overflowPunct/>
        <w:topLinePunct w:val="0"/>
        <w:autoSpaceDE/>
        <w:autoSpaceDN/>
        <w:bidi w:val="0"/>
        <w:adjustRightInd/>
        <w:snapToGrid/>
        <w:ind w:firstLine="601" w:firstLineChars="200"/>
        <w:textAlignment w:val="auto"/>
        <w:outlineLvl w:val="1"/>
        <w:rPr>
          <w:color w:val="FF0000"/>
        </w:rPr>
      </w:pPr>
      <w:bookmarkStart w:id="3" w:name="_Toc23197"/>
      <w:r>
        <w:rPr>
          <w:rFonts w:hint="eastAsia"/>
        </w:rPr>
        <w:t>（二）机构设置</w:t>
      </w:r>
      <w:bookmarkEnd w:id="3"/>
    </w:p>
    <w:p>
      <w:pPr>
        <w:keepNext w:val="0"/>
        <w:keepLines w:val="0"/>
        <w:pageBreakBefore w:val="0"/>
        <w:kinsoku/>
        <w:wordWrap/>
        <w:overflowPunct/>
        <w:topLinePunct w:val="0"/>
        <w:autoSpaceDE/>
        <w:autoSpaceDN/>
        <w:bidi w:val="0"/>
        <w:adjustRightInd/>
        <w:snapToGrid/>
        <w:ind w:firstLine="600" w:firstLineChars="200"/>
        <w:textAlignment w:val="auto"/>
        <w:rPr>
          <w:rFonts w:ascii="华文仿宋" w:hAnsi="华文仿宋" w:eastAsia="华文仿宋"/>
          <w:bCs/>
          <w:sz w:val="30"/>
          <w:szCs w:val="30"/>
        </w:rPr>
      </w:pPr>
      <w:r>
        <w:rPr>
          <w:rFonts w:hint="eastAsia" w:ascii="华文仿宋" w:hAnsi="华文仿宋" w:eastAsia="华文仿宋"/>
          <w:bCs/>
          <w:sz w:val="30"/>
          <w:szCs w:val="30"/>
        </w:rPr>
        <w:t>从预算单位构成看，遂昌县市场监督管理局本级及其所属的</w:t>
      </w:r>
      <w:r>
        <w:rPr>
          <w:rFonts w:hint="eastAsia" w:ascii="华文仿宋" w:hAnsi="华文仿宋" w:eastAsia="华文仿宋"/>
          <w:bCs/>
          <w:color w:val="000000"/>
          <w:sz w:val="30"/>
          <w:szCs w:val="30"/>
        </w:rPr>
        <w:t>遂昌县市场监管综合行政执法队</w:t>
      </w:r>
      <w:r>
        <w:rPr>
          <w:rFonts w:hint="eastAsia" w:ascii="华文仿宋" w:hAnsi="华文仿宋" w:eastAsia="华文仿宋"/>
          <w:bCs/>
          <w:sz w:val="30"/>
          <w:szCs w:val="30"/>
        </w:rPr>
        <w:t>、遂昌县食品药品安全检验检测中心、遂昌县消费者权益保护委员会秘书处、遂昌县计量检定测试所、遂昌县质量技术监督局工业园区管理所均在遂昌县市场监督管理局预算中执行行政单位会计制度，为本级决算。</w:t>
      </w:r>
    </w:p>
    <w:p>
      <w:pPr>
        <w:ind w:firstLine="600" w:firstLineChars="200"/>
        <w:rPr>
          <w:rFonts w:ascii="华文仿宋" w:hAnsi="华文仿宋" w:eastAsia="华文仿宋"/>
          <w:bCs/>
          <w:sz w:val="30"/>
          <w:szCs w:val="30"/>
        </w:rPr>
      </w:pPr>
      <w:r>
        <w:rPr>
          <w:rFonts w:hint="eastAsia" w:ascii="华文仿宋" w:hAnsi="华文仿宋" w:eastAsia="华文仿宋"/>
          <w:bCs/>
          <w:sz w:val="30"/>
          <w:szCs w:val="30"/>
        </w:rPr>
        <w:t>纳入遂昌县市场监督管理局2020年度部门决算编制范围的二级预算单位包括：无。</w:t>
      </w:r>
    </w:p>
    <w:p>
      <w:pPr>
        <w:pStyle w:val="22"/>
        <w:keepNext w:val="0"/>
        <w:keepLines w:val="0"/>
        <w:pageBreakBefore w:val="0"/>
        <w:kinsoku/>
        <w:wordWrap/>
        <w:overflowPunct/>
        <w:topLinePunct w:val="0"/>
        <w:autoSpaceDE/>
        <w:autoSpaceDN/>
        <w:bidi w:val="0"/>
        <w:adjustRightInd/>
        <w:snapToGrid/>
        <w:ind w:firstLine="601" w:firstLineChars="200"/>
        <w:textAlignment w:val="auto"/>
        <w:outlineLvl w:val="0"/>
      </w:pPr>
      <w:bookmarkStart w:id="4" w:name="_Toc903"/>
      <w:r>
        <w:rPr>
          <w:rFonts w:hint="eastAsia"/>
        </w:rPr>
        <w:t>二、遂昌县市场监督管理局2020年度部门决算公开表</w:t>
      </w:r>
      <w:bookmarkEnd w:id="4"/>
    </w:p>
    <w:p>
      <w:pPr>
        <w:keepNext w:val="0"/>
        <w:keepLines w:val="0"/>
        <w:pageBreakBefore w:val="0"/>
        <w:kinsoku/>
        <w:wordWrap/>
        <w:overflowPunct/>
        <w:topLinePunct w:val="0"/>
        <w:autoSpaceDE/>
        <w:autoSpaceDN/>
        <w:bidi w:val="0"/>
        <w:adjustRightInd/>
        <w:snapToGrid/>
        <w:ind w:firstLine="600" w:firstLineChars="200"/>
        <w:textAlignment w:val="auto"/>
        <w:rPr>
          <w:rFonts w:ascii="华文仿宋" w:hAnsi="华文仿宋" w:eastAsia="华文仿宋"/>
          <w:bCs/>
          <w:sz w:val="30"/>
          <w:szCs w:val="30"/>
        </w:rPr>
      </w:pPr>
      <w:r>
        <w:rPr>
          <w:rFonts w:hint="eastAsia" w:ascii="华文仿宋" w:hAnsi="华文仿宋" w:eastAsia="华文仿宋"/>
          <w:bCs/>
          <w:sz w:val="30"/>
          <w:szCs w:val="30"/>
        </w:rPr>
        <w:t>详见附表。</w:t>
      </w:r>
    </w:p>
    <w:p>
      <w:pPr>
        <w:pStyle w:val="22"/>
        <w:keepNext w:val="0"/>
        <w:keepLines w:val="0"/>
        <w:pageBreakBefore w:val="0"/>
        <w:kinsoku/>
        <w:wordWrap/>
        <w:overflowPunct/>
        <w:topLinePunct w:val="0"/>
        <w:autoSpaceDE/>
        <w:autoSpaceDN/>
        <w:bidi w:val="0"/>
        <w:adjustRightInd/>
        <w:snapToGrid/>
        <w:ind w:firstLine="601" w:firstLineChars="200"/>
        <w:textAlignment w:val="auto"/>
        <w:outlineLvl w:val="0"/>
      </w:pPr>
      <w:bookmarkStart w:id="5" w:name="_Toc11637"/>
      <w:r>
        <w:rPr>
          <w:rFonts w:hint="eastAsia"/>
        </w:rPr>
        <w:t>三、遂昌县市场监督管理局2020年度部门决算情况说明</w:t>
      </w:r>
      <w:bookmarkEnd w:id="5"/>
    </w:p>
    <w:p>
      <w:pPr>
        <w:pStyle w:val="23"/>
        <w:keepNext w:val="0"/>
        <w:keepLines w:val="0"/>
        <w:pageBreakBefore w:val="0"/>
        <w:kinsoku/>
        <w:wordWrap/>
        <w:overflowPunct/>
        <w:topLinePunct w:val="0"/>
        <w:autoSpaceDE/>
        <w:autoSpaceDN/>
        <w:bidi w:val="0"/>
        <w:adjustRightInd/>
        <w:snapToGrid/>
        <w:ind w:firstLine="601" w:firstLineChars="200"/>
        <w:textAlignment w:val="auto"/>
        <w:outlineLvl w:val="1"/>
      </w:pPr>
      <w:bookmarkStart w:id="6" w:name="_Toc24409"/>
      <w:r>
        <w:rPr>
          <w:rFonts w:hint="eastAsia"/>
        </w:rPr>
        <w:t>（一）收入支出决算总体情况说明</w:t>
      </w:r>
      <w:bookmarkEnd w:id="6"/>
    </w:p>
    <w:p>
      <w:pPr>
        <w:keepNext w:val="0"/>
        <w:keepLines w:val="0"/>
        <w:pageBreakBefore w:val="0"/>
        <w:kinsoku/>
        <w:wordWrap/>
        <w:overflowPunct/>
        <w:topLinePunct w:val="0"/>
        <w:autoSpaceDE/>
        <w:autoSpaceDN/>
        <w:bidi w:val="0"/>
        <w:adjustRightInd/>
        <w:snapToGrid/>
        <w:ind w:firstLine="600" w:firstLineChars="200"/>
        <w:textAlignment w:val="auto"/>
        <w:rPr>
          <w:rFonts w:ascii="华文仿宋" w:hAnsi="华文仿宋" w:eastAsia="华文仿宋"/>
          <w:bCs/>
          <w:sz w:val="30"/>
          <w:szCs w:val="30"/>
        </w:rPr>
      </w:pPr>
      <w:r>
        <w:rPr>
          <w:rFonts w:ascii="华文仿宋" w:hAnsi="华文仿宋" w:eastAsia="华文仿宋"/>
          <w:bCs/>
          <w:sz w:val="30"/>
          <w:szCs w:val="30"/>
        </w:rPr>
        <w:t>2020</w:t>
      </w:r>
      <w:r>
        <w:rPr>
          <w:rFonts w:hint="eastAsia" w:ascii="华文仿宋" w:hAnsi="华文仿宋" w:eastAsia="华文仿宋"/>
          <w:bCs/>
          <w:sz w:val="30"/>
          <w:szCs w:val="30"/>
        </w:rPr>
        <w:t>年度收、支总计</w:t>
      </w:r>
      <w:r>
        <w:rPr>
          <w:rFonts w:ascii="华文仿宋" w:hAnsi="华文仿宋" w:eastAsia="华文仿宋"/>
          <w:bCs/>
          <w:sz w:val="30"/>
          <w:szCs w:val="30"/>
        </w:rPr>
        <w:t>6,920.51</w:t>
      </w:r>
      <w:r>
        <w:rPr>
          <w:rFonts w:hint="eastAsia" w:ascii="华文仿宋" w:hAnsi="华文仿宋" w:eastAsia="华文仿宋"/>
          <w:bCs/>
          <w:sz w:val="30"/>
          <w:szCs w:val="30"/>
        </w:rPr>
        <w:t>万元，与</w:t>
      </w:r>
      <w:r>
        <w:rPr>
          <w:rFonts w:ascii="华文仿宋" w:hAnsi="华文仿宋" w:eastAsia="华文仿宋"/>
          <w:bCs/>
          <w:sz w:val="30"/>
          <w:szCs w:val="30"/>
        </w:rPr>
        <w:t>2019</w:t>
      </w:r>
      <w:r>
        <w:rPr>
          <w:rFonts w:hint="eastAsia" w:ascii="华文仿宋" w:hAnsi="华文仿宋" w:eastAsia="华文仿宋"/>
          <w:bCs/>
          <w:sz w:val="30"/>
          <w:szCs w:val="30"/>
        </w:rPr>
        <w:t>年度相比，收、支总计各增加2018.01万元，增长41.16</w:t>
      </w:r>
      <w:r>
        <w:rPr>
          <w:rFonts w:ascii="华文仿宋" w:hAnsi="华文仿宋" w:eastAsia="华文仿宋"/>
          <w:bCs/>
          <w:sz w:val="30"/>
          <w:szCs w:val="30"/>
        </w:rPr>
        <w:t>%</w:t>
      </w:r>
      <w:r>
        <w:rPr>
          <w:rFonts w:hint="eastAsia" w:ascii="华文仿宋" w:hAnsi="华文仿宋" w:eastAsia="华文仿宋"/>
          <w:bCs/>
          <w:sz w:val="30"/>
          <w:szCs w:val="30"/>
        </w:rPr>
        <w:t>。主要原因是：2020年度信息系统维护（省局专网整合建设等）、评估检测（特种设备风险评估、医疗强制检定等）、创建补助（惠企利民两直补助、省级标准化战略、星级食安办创建等）、宣传经费（食品安全公益广告制作投放等）项目的增加，增加了相应的经费收支。其中，惠企利民两直补助1512.2万元，是2020年度收、支增加的最主要原因。</w:t>
      </w:r>
    </w:p>
    <w:p>
      <w:pPr>
        <w:pStyle w:val="23"/>
        <w:keepNext w:val="0"/>
        <w:keepLines w:val="0"/>
        <w:pageBreakBefore w:val="0"/>
        <w:kinsoku/>
        <w:wordWrap/>
        <w:overflowPunct/>
        <w:topLinePunct w:val="0"/>
        <w:autoSpaceDE/>
        <w:autoSpaceDN/>
        <w:bidi w:val="0"/>
        <w:adjustRightInd/>
        <w:snapToGrid/>
        <w:ind w:firstLine="601" w:firstLineChars="200"/>
        <w:textAlignment w:val="auto"/>
        <w:outlineLvl w:val="1"/>
      </w:pPr>
      <w:bookmarkStart w:id="7" w:name="_Toc8598"/>
      <w:r>
        <w:rPr>
          <w:rFonts w:hint="eastAsia"/>
        </w:rPr>
        <w:t>（二）收入决算情况说明</w:t>
      </w:r>
      <w:bookmarkEnd w:id="7"/>
    </w:p>
    <w:p>
      <w:pPr>
        <w:keepNext w:val="0"/>
        <w:keepLines w:val="0"/>
        <w:pageBreakBefore w:val="0"/>
        <w:kinsoku/>
        <w:wordWrap/>
        <w:overflowPunct/>
        <w:topLinePunct w:val="0"/>
        <w:autoSpaceDE/>
        <w:autoSpaceDN/>
        <w:bidi w:val="0"/>
        <w:adjustRightInd/>
        <w:snapToGrid/>
        <w:ind w:firstLine="600" w:firstLineChars="200"/>
        <w:textAlignment w:val="auto"/>
        <w:rPr>
          <w:rFonts w:ascii="华文仿宋" w:hAnsi="华文仿宋" w:eastAsia="华文仿宋"/>
          <w:bCs/>
          <w:sz w:val="30"/>
          <w:szCs w:val="30"/>
        </w:rPr>
      </w:pPr>
      <w:r>
        <w:rPr>
          <w:rFonts w:hint="eastAsia" w:ascii="华文仿宋" w:hAnsi="华文仿宋" w:eastAsia="华文仿宋"/>
          <w:bCs/>
          <w:sz w:val="30"/>
          <w:szCs w:val="30"/>
        </w:rPr>
        <w:t>本年收入合计</w:t>
      </w:r>
      <w:r>
        <w:rPr>
          <w:rFonts w:ascii="华文仿宋" w:hAnsi="华文仿宋" w:eastAsia="华文仿宋"/>
          <w:bCs/>
          <w:sz w:val="30"/>
          <w:szCs w:val="30"/>
        </w:rPr>
        <w:t>6,511.2</w:t>
      </w:r>
      <w:r>
        <w:rPr>
          <w:rFonts w:hint="eastAsia" w:ascii="华文仿宋" w:hAnsi="华文仿宋" w:eastAsia="华文仿宋"/>
          <w:bCs/>
          <w:sz w:val="30"/>
          <w:szCs w:val="30"/>
        </w:rPr>
        <w:t>万元；包括财政拨款收入</w:t>
      </w:r>
      <w:r>
        <w:rPr>
          <w:rFonts w:ascii="华文仿宋" w:hAnsi="华文仿宋" w:eastAsia="华文仿宋"/>
          <w:bCs/>
          <w:sz w:val="30"/>
          <w:szCs w:val="30"/>
        </w:rPr>
        <w:t>6,500.2</w:t>
      </w:r>
      <w:r>
        <w:rPr>
          <w:rFonts w:hint="eastAsia" w:ascii="华文仿宋" w:hAnsi="华文仿宋" w:eastAsia="华文仿宋"/>
          <w:bCs/>
          <w:sz w:val="30"/>
          <w:szCs w:val="30"/>
        </w:rPr>
        <w:t>万元（其中，一般公共预算</w:t>
      </w:r>
      <w:r>
        <w:rPr>
          <w:rFonts w:ascii="华文仿宋" w:hAnsi="华文仿宋" w:eastAsia="华文仿宋"/>
          <w:bCs/>
          <w:sz w:val="30"/>
          <w:szCs w:val="30"/>
        </w:rPr>
        <w:t>6,335.4</w:t>
      </w:r>
      <w:r>
        <w:rPr>
          <w:rFonts w:hint="eastAsia" w:ascii="华文仿宋" w:hAnsi="华文仿宋" w:eastAsia="华文仿宋"/>
          <w:bCs/>
          <w:sz w:val="30"/>
          <w:szCs w:val="30"/>
        </w:rPr>
        <w:t>万元，政府性基金预算</w:t>
      </w:r>
      <w:r>
        <w:rPr>
          <w:rFonts w:ascii="华文仿宋" w:hAnsi="华文仿宋" w:eastAsia="华文仿宋"/>
          <w:bCs/>
          <w:sz w:val="30"/>
          <w:szCs w:val="30"/>
        </w:rPr>
        <w:t>164.8</w:t>
      </w:r>
      <w:r>
        <w:rPr>
          <w:rFonts w:hint="eastAsia" w:ascii="华文仿宋" w:hAnsi="华文仿宋" w:eastAsia="华文仿宋"/>
          <w:bCs/>
          <w:sz w:val="30"/>
          <w:szCs w:val="30"/>
        </w:rPr>
        <w:t>万元</w:t>
      </w:r>
      <w:r>
        <w:rPr>
          <w:rFonts w:ascii="华文仿宋" w:hAnsi="华文仿宋" w:eastAsia="华文仿宋"/>
          <w:bCs/>
          <w:sz w:val="30"/>
          <w:szCs w:val="30"/>
        </w:rPr>
        <w:t>,</w:t>
      </w:r>
      <w:r>
        <w:rPr>
          <w:rFonts w:hint="eastAsia" w:ascii="华文仿宋" w:hAnsi="华文仿宋" w:eastAsia="华文仿宋"/>
          <w:bCs/>
          <w:sz w:val="30"/>
          <w:szCs w:val="30"/>
        </w:rPr>
        <w:t>国有资本经营预算</w:t>
      </w:r>
      <w:r>
        <w:rPr>
          <w:rFonts w:ascii="华文仿宋" w:hAnsi="华文仿宋" w:eastAsia="华文仿宋"/>
          <w:bCs/>
          <w:sz w:val="30"/>
          <w:szCs w:val="30"/>
        </w:rPr>
        <w:t>0</w:t>
      </w:r>
      <w:r>
        <w:rPr>
          <w:rFonts w:hint="eastAsia" w:ascii="华文仿宋" w:hAnsi="华文仿宋" w:eastAsia="华文仿宋"/>
          <w:bCs/>
          <w:sz w:val="30"/>
          <w:szCs w:val="30"/>
        </w:rPr>
        <w:t>万元），占收入合计</w:t>
      </w:r>
      <w:r>
        <w:rPr>
          <w:rFonts w:ascii="华文仿宋" w:hAnsi="华文仿宋" w:eastAsia="华文仿宋"/>
          <w:bCs/>
          <w:sz w:val="30"/>
          <w:szCs w:val="30"/>
        </w:rPr>
        <w:t>99.83%</w:t>
      </w:r>
      <w:r>
        <w:rPr>
          <w:rFonts w:hint="eastAsia" w:ascii="华文仿宋" w:hAnsi="华文仿宋" w:eastAsia="华文仿宋"/>
          <w:bCs/>
          <w:sz w:val="30"/>
          <w:szCs w:val="30"/>
        </w:rPr>
        <w:t>；上级补助收入</w:t>
      </w:r>
      <w:r>
        <w:rPr>
          <w:rFonts w:ascii="华文仿宋" w:hAnsi="华文仿宋" w:eastAsia="华文仿宋"/>
          <w:bCs/>
          <w:sz w:val="30"/>
          <w:szCs w:val="30"/>
        </w:rPr>
        <w:t>0</w:t>
      </w:r>
      <w:r>
        <w:rPr>
          <w:rFonts w:hint="eastAsia" w:ascii="华文仿宋" w:hAnsi="华文仿宋" w:eastAsia="华文仿宋"/>
          <w:bCs/>
          <w:sz w:val="30"/>
          <w:szCs w:val="30"/>
        </w:rPr>
        <w:t>万元，占收入合计</w:t>
      </w:r>
      <w:r>
        <w:rPr>
          <w:rFonts w:ascii="华文仿宋" w:hAnsi="华文仿宋" w:eastAsia="华文仿宋"/>
          <w:bCs/>
          <w:sz w:val="30"/>
          <w:szCs w:val="30"/>
        </w:rPr>
        <w:t>0%</w:t>
      </w:r>
      <w:r>
        <w:rPr>
          <w:rFonts w:hint="eastAsia" w:ascii="华文仿宋" w:hAnsi="华文仿宋" w:eastAsia="华文仿宋"/>
          <w:bCs/>
          <w:sz w:val="30"/>
          <w:szCs w:val="30"/>
        </w:rPr>
        <w:t>；事业收入</w:t>
      </w:r>
      <w:r>
        <w:rPr>
          <w:rFonts w:ascii="华文仿宋" w:hAnsi="华文仿宋" w:eastAsia="华文仿宋"/>
          <w:bCs/>
          <w:sz w:val="30"/>
          <w:szCs w:val="30"/>
        </w:rPr>
        <w:t>0</w:t>
      </w:r>
      <w:r>
        <w:rPr>
          <w:rFonts w:hint="eastAsia" w:ascii="华文仿宋" w:hAnsi="华文仿宋" w:eastAsia="华文仿宋"/>
          <w:bCs/>
          <w:sz w:val="30"/>
          <w:szCs w:val="30"/>
        </w:rPr>
        <w:t>万元，占收入合计</w:t>
      </w:r>
      <w:r>
        <w:rPr>
          <w:rFonts w:ascii="华文仿宋" w:hAnsi="华文仿宋" w:eastAsia="华文仿宋"/>
          <w:bCs/>
          <w:sz w:val="30"/>
          <w:szCs w:val="30"/>
        </w:rPr>
        <w:t>0%</w:t>
      </w:r>
      <w:r>
        <w:rPr>
          <w:rFonts w:hint="eastAsia" w:ascii="华文仿宋" w:hAnsi="华文仿宋" w:eastAsia="华文仿宋"/>
          <w:bCs/>
          <w:sz w:val="30"/>
          <w:szCs w:val="30"/>
        </w:rPr>
        <w:t>；经营收入</w:t>
      </w:r>
      <w:r>
        <w:rPr>
          <w:rFonts w:ascii="华文仿宋" w:hAnsi="华文仿宋" w:eastAsia="华文仿宋"/>
          <w:bCs/>
          <w:sz w:val="30"/>
          <w:szCs w:val="30"/>
        </w:rPr>
        <w:t>0</w:t>
      </w:r>
      <w:r>
        <w:rPr>
          <w:rFonts w:hint="eastAsia" w:ascii="华文仿宋" w:hAnsi="华文仿宋" w:eastAsia="华文仿宋"/>
          <w:bCs/>
          <w:sz w:val="30"/>
          <w:szCs w:val="30"/>
        </w:rPr>
        <w:t>万元，占收入合计</w:t>
      </w:r>
      <w:r>
        <w:rPr>
          <w:rFonts w:ascii="华文仿宋" w:hAnsi="华文仿宋" w:eastAsia="华文仿宋"/>
          <w:bCs/>
          <w:sz w:val="30"/>
          <w:szCs w:val="30"/>
        </w:rPr>
        <w:t>0%</w:t>
      </w:r>
      <w:r>
        <w:rPr>
          <w:rFonts w:hint="eastAsia" w:ascii="华文仿宋" w:hAnsi="华文仿宋" w:eastAsia="华文仿宋"/>
          <w:bCs/>
          <w:sz w:val="30"/>
          <w:szCs w:val="30"/>
        </w:rPr>
        <w:t>；附属单位上缴收入</w:t>
      </w:r>
      <w:r>
        <w:rPr>
          <w:rFonts w:ascii="华文仿宋" w:hAnsi="华文仿宋" w:eastAsia="华文仿宋"/>
          <w:bCs/>
          <w:sz w:val="30"/>
          <w:szCs w:val="30"/>
        </w:rPr>
        <w:t>0</w:t>
      </w:r>
      <w:r>
        <w:rPr>
          <w:rFonts w:hint="eastAsia" w:ascii="华文仿宋" w:hAnsi="华文仿宋" w:eastAsia="华文仿宋"/>
          <w:bCs/>
          <w:sz w:val="30"/>
          <w:szCs w:val="30"/>
        </w:rPr>
        <w:t>万元，占收入合计</w:t>
      </w:r>
      <w:r>
        <w:rPr>
          <w:rFonts w:ascii="华文仿宋" w:hAnsi="华文仿宋" w:eastAsia="华文仿宋"/>
          <w:bCs/>
          <w:sz w:val="30"/>
          <w:szCs w:val="30"/>
        </w:rPr>
        <w:t>0%</w:t>
      </w:r>
      <w:r>
        <w:rPr>
          <w:rFonts w:hint="eastAsia" w:ascii="华文仿宋" w:hAnsi="华文仿宋" w:eastAsia="华文仿宋"/>
          <w:bCs/>
          <w:sz w:val="30"/>
          <w:szCs w:val="30"/>
        </w:rPr>
        <w:t>；其他收入</w:t>
      </w:r>
      <w:r>
        <w:rPr>
          <w:rFonts w:ascii="华文仿宋" w:hAnsi="华文仿宋" w:eastAsia="华文仿宋"/>
          <w:bCs/>
          <w:sz w:val="30"/>
          <w:szCs w:val="30"/>
        </w:rPr>
        <w:t>11</w:t>
      </w:r>
      <w:r>
        <w:rPr>
          <w:rFonts w:hint="eastAsia" w:ascii="华文仿宋" w:hAnsi="华文仿宋" w:eastAsia="华文仿宋"/>
          <w:bCs/>
          <w:sz w:val="30"/>
          <w:szCs w:val="30"/>
        </w:rPr>
        <w:t>万元，占收入合计</w:t>
      </w:r>
      <w:r>
        <w:rPr>
          <w:rFonts w:ascii="华文仿宋" w:hAnsi="华文仿宋" w:eastAsia="华文仿宋"/>
          <w:bCs/>
          <w:sz w:val="30"/>
          <w:szCs w:val="30"/>
        </w:rPr>
        <w:t>0.17%</w:t>
      </w:r>
      <w:r>
        <w:rPr>
          <w:rFonts w:hint="eastAsia" w:ascii="华文仿宋" w:hAnsi="华文仿宋" w:eastAsia="华文仿宋"/>
          <w:bCs/>
          <w:sz w:val="30"/>
          <w:szCs w:val="30"/>
        </w:rPr>
        <w:t>。</w:t>
      </w:r>
    </w:p>
    <w:p>
      <w:pPr>
        <w:pStyle w:val="23"/>
        <w:keepNext w:val="0"/>
        <w:keepLines w:val="0"/>
        <w:pageBreakBefore w:val="0"/>
        <w:kinsoku/>
        <w:wordWrap/>
        <w:overflowPunct/>
        <w:topLinePunct w:val="0"/>
        <w:autoSpaceDE/>
        <w:autoSpaceDN/>
        <w:bidi w:val="0"/>
        <w:adjustRightInd/>
        <w:snapToGrid/>
        <w:ind w:firstLine="601" w:firstLineChars="200"/>
        <w:textAlignment w:val="auto"/>
        <w:outlineLvl w:val="1"/>
      </w:pPr>
      <w:bookmarkStart w:id="8" w:name="_Toc24147"/>
      <w:r>
        <w:rPr>
          <w:rFonts w:hint="eastAsia"/>
        </w:rPr>
        <w:t>（三）支出决算情况说明</w:t>
      </w:r>
      <w:bookmarkEnd w:id="8"/>
    </w:p>
    <w:p>
      <w:pPr>
        <w:keepNext w:val="0"/>
        <w:keepLines w:val="0"/>
        <w:pageBreakBefore w:val="0"/>
        <w:widowControl/>
        <w:shd w:val="clear" w:color="auto" w:fill="FFFFFF"/>
        <w:kinsoku/>
        <w:wordWrap/>
        <w:overflowPunct/>
        <w:topLinePunct w:val="0"/>
        <w:autoSpaceDE/>
        <w:autoSpaceDN/>
        <w:bidi w:val="0"/>
        <w:adjustRightInd/>
        <w:snapToGrid/>
        <w:ind w:firstLine="600" w:firstLineChars="200"/>
        <w:textAlignment w:val="auto"/>
        <w:rPr>
          <w:rFonts w:ascii="华文仿宋" w:hAnsi="华文仿宋" w:eastAsia="华文仿宋" w:cs="宋体"/>
          <w:color w:val="000000"/>
          <w:kern w:val="0"/>
          <w:sz w:val="30"/>
          <w:szCs w:val="30"/>
        </w:rPr>
      </w:pPr>
      <w:r>
        <w:rPr>
          <w:rFonts w:hint="eastAsia" w:ascii="华文仿宋" w:hAnsi="华文仿宋" w:eastAsia="华文仿宋" w:cs="宋体"/>
          <w:color w:val="000000"/>
          <w:kern w:val="0"/>
          <w:sz w:val="30"/>
          <w:szCs w:val="30"/>
        </w:rPr>
        <w:t>本年支出合计</w:t>
      </w:r>
      <w:r>
        <w:rPr>
          <w:rFonts w:ascii="华文仿宋" w:hAnsi="华文仿宋" w:eastAsia="华文仿宋" w:cs="宋体"/>
          <w:color w:val="000000"/>
          <w:kern w:val="0"/>
          <w:sz w:val="30"/>
          <w:szCs w:val="30"/>
        </w:rPr>
        <w:t>6,904.11</w:t>
      </w:r>
      <w:r>
        <w:rPr>
          <w:rFonts w:hint="eastAsia" w:ascii="华文仿宋" w:hAnsi="华文仿宋" w:eastAsia="华文仿宋" w:cs="宋体"/>
          <w:color w:val="000000"/>
          <w:kern w:val="0"/>
          <w:sz w:val="30"/>
          <w:szCs w:val="30"/>
        </w:rPr>
        <w:t>万元，其中基本支出</w:t>
      </w:r>
      <w:r>
        <w:rPr>
          <w:rFonts w:ascii="华文仿宋" w:hAnsi="华文仿宋" w:eastAsia="华文仿宋" w:cs="宋体"/>
          <w:color w:val="000000"/>
          <w:kern w:val="0"/>
          <w:sz w:val="30"/>
          <w:szCs w:val="30"/>
        </w:rPr>
        <w:t>3,929.04</w:t>
      </w:r>
      <w:r>
        <w:rPr>
          <w:rFonts w:hint="eastAsia" w:ascii="华文仿宋" w:hAnsi="华文仿宋" w:eastAsia="华文仿宋" w:cs="宋体"/>
          <w:color w:val="000000"/>
          <w:kern w:val="0"/>
          <w:sz w:val="30"/>
          <w:szCs w:val="30"/>
        </w:rPr>
        <w:t>万元，占</w:t>
      </w:r>
      <w:r>
        <w:rPr>
          <w:rFonts w:ascii="华文仿宋" w:hAnsi="华文仿宋" w:eastAsia="华文仿宋" w:cs="宋体"/>
          <w:color w:val="000000"/>
          <w:kern w:val="0"/>
          <w:sz w:val="30"/>
          <w:szCs w:val="30"/>
        </w:rPr>
        <w:t>56.91%</w:t>
      </w:r>
      <w:r>
        <w:rPr>
          <w:rFonts w:hint="eastAsia" w:ascii="华文仿宋" w:hAnsi="华文仿宋" w:eastAsia="华文仿宋" w:cs="宋体"/>
          <w:color w:val="000000"/>
          <w:kern w:val="0"/>
          <w:sz w:val="30"/>
          <w:szCs w:val="30"/>
        </w:rPr>
        <w:t>；项目支出</w:t>
      </w:r>
      <w:r>
        <w:rPr>
          <w:rFonts w:ascii="华文仿宋" w:hAnsi="华文仿宋" w:eastAsia="华文仿宋" w:cs="宋体"/>
          <w:color w:val="000000"/>
          <w:kern w:val="0"/>
          <w:sz w:val="30"/>
          <w:szCs w:val="30"/>
        </w:rPr>
        <w:t>2,975.07</w:t>
      </w:r>
      <w:r>
        <w:rPr>
          <w:rFonts w:hint="eastAsia" w:ascii="华文仿宋" w:hAnsi="华文仿宋" w:eastAsia="华文仿宋" w:cs="宋体"/>
          <w:color w:val="000000"/>
          <w:kern w:val="0"/>
          <w:sz w:val="30"/>
          <w:szCs w:val="30"/>
        </w:rPr>
        <w:t>万元，占</w:t>
      </w:r>
      <w:r>
        <w:rPr>
          <w:rFonts w:ascii="华文仿宋" w:hAnsi="华文仿宋" w:eastAsia="华文仿宋" w:cs="宋体"/>
          <w:color w:val="000000"/>
          <w:kern w:val="0"/>
          <w:sz w:val="30"/>
          <w:szCs w:val="30"/>
        </w:rPr>
        <w:t>43.09%</w:t>
      </w:r>
      <w:r>
        <w:rPr>
          <w:rFonts w:hint="eastAsia" w:ascii="华文仿宋" w:hAnsi="华文仿宋" w:eastAsia="华文仿宋" w:cs="宋体"/>
          <w:color w:val="000000"/>
          <w:kern w:val="0"/>
          <w:sz w:val="30"/>
          <w:szCs w:val="30"/>
        </w:rPr>
        <w:t>；上缴上级支出</w:t>
      </w:r>
      <w:r>
        <w:rPr>
          <w:rFonts w:ascii="华文仿宋" w:hAnsi="华文仿宋" w:eastAsia="华文仿宋" w:cs="宋体"/>
          <w:color w:val="000000"/>
          <w:kern w:val="0"/>
          <w:sz w:val="30"/>
          <w:szCs w:val="30"/>
        </w:rPr>
        <w:t>0</w:t>
      </w:r>
      <w:r>
        <w:rPr>
          <w:rFonts w:hint="eastAsia" w:ascii="华文仿宋" w:hAnsi="华文仿宋" w:eastAsia="华文仿宋" w:cs="宋体"/>
          <w:color w:val="000000"/>
          <w:kern w:val="0"/>
          <w:sz w:val="30"/>
          <w:szCs w:val="30"/>
        </w:rPr>
        <w:t>万元，占</w:t>
      </w:r>
      <w:r>
        <w:rPr>
          <w:rFonts w:ascii="华文仿宋" w:hAnsi="华文仿宋" w:eastAsia="华文仿宋" w:cs="宋体"/>
          <w:color w:val="000000"/>
          <w:kern w:val="0"/>
          <w:sz w:val="30"/>
          <w:szCs w:val="30"/>
        </w:rPr>
        <w:t>0%</w:t>
      </w:r>
      <w:r>
        <w:rPr>
          <w:rFonts w:hint="eastAsia" w:ascii="华文仿宋" w:hAnsi="华文仿宋" w:eastAsia="华文仿宋" w:cs="宋体"/>
          <w:color w:val="000000"/>
          <w:kern w:val="0"/>
          <w:sz w:val="30"/>
          <w:szCs w:val="30"/>
        </w:rPr>
        <w:t>；经营支出</w:t>
      </w:r>
      <w:r>
        <w:rPr>
          <w:rFonts w:ascii="华文仿宋" w:hAnsi="华文仿宋" w:eastAsia="华文仿宋" w:cs="宋体"/>
          <w:color w:val="000000"/>
          <w:kern w:val="0"/>
          <w:sz w:val="30"/>
          <w:szCs w:val="30"/>
        </w:rPr>
        <w:t>0</w:t>
      </w:r>
      <w:r>
        <w:rPr>
          <w:rFonts w:hint="eastAsia" w:ascii="华文仿宋" w:hAnsi="华文仿宋" w:eastAsia="华文仿宋" w:cs="宋体"/>
          <w:color w:val="000000"/>
          <w:kern w:val="0"/>
          <w:sz w:val="30"/>
          <w:szCs w:val="30"/>
        </w:rPr>
        <w:t>万元，占</w:t>
      </w:r>
      <w:r>
        <w:rPr>
          <w:rFonts w:ascii="华文仿宋" w:hAnsi="华文仿宋" w:eastAsia="华文仿宋" w:cs="宋体"/>
          <w:color w:val="000000"/>
          <w:kern w:val="0"/>
          <w:sz w:val="30"/>
          <w:szCs w:val="30"/>
        </w:rPr>
        <w:t>0%</w:t>
      </w:r>
      <w:r>
        <w:rPr>
          <w:rFonts w:hint="eastAsia" w:ascii="华文仿宋" w:hAnsi="华文仿宋" w:eastAsia="华文仿宋" w:cs="宋体"/>
          <w:color w:val="000000"/>
          <w:kern w:val="0"/>
          <w:sz w:val="30"/>
          <w:szCs w:val="30"/>
        </w:rPr>
        <w:t>；对附属单位补助支出</w:t>
      </w:r>
      <w:r>
        <w:rPr>
          <w:rFonts w:ascii="华文仿宋" w:hAnsi="华文仿宋" w:eastAsia="华文仿宋" w:cs="宋体"/>
          <w:color w:val="000000"/>
          <w:kern w:val="0"/>
          <w:sz w:val="30"/>
          <w:szCs w:val="30"/>
        </w:rPr>
        <w:t>0</w:t>
      </w:r>
      <w:r>
        <w:rPr>
          <w:rFonts w:hint="eastAsia" w:ascii="华文仿宋" w:hAnsi="华文仿宋" w:eastAsia="华文仿宋" w:cs="宋体"/>
          <w:color w:val="000000"/>
          <w:kern w:val="0"/>
          <w:sz w:val="30"/>
          <w:szCs w:val="30"/>
        </w:rPr>
        <w:t>万元，占</w:t>
      </w:r>
      <w:r>
        <w:rPr>
          <w:rFonts w:ascii="华文仿宋" w:hAnsi="华文仿宋" w:eastAsia="华文仿宋" w:cs="宋体"/>
          <w:color w:val="000000"/>
          <w:kern w:val="0"/>
          <w:sz w:val="30"/>
          <w:szCs w:val="30"/>
        </w:rPr>
        <w:t>0%</w:t>
      </w:r>
      <w:r>
        <w:rPr>
          <w:rFonts w:hint="eastAsia" w:ascii="华文仿宋" w:hAnsi="华文仿宋" w:eastAsia="华文仿宋" w:cs="宋体"/>
          <w:color w:val="000000"/>
          <w:kern w:val="0"/>
          <w:sz w:val="30"/>
          <w:szCs w:val="30"/>
        </w:rPr>
        <w:t>。</w:t>
      </w:r>
    </w:p>
    <w:p>
      <w:pPr>
        <w:pStyle w:val="23"/>
        <w:keepNext w:val="0"/>
        <w:keepLines w:val="0"/>
        <w:pageBreakBefore w:val="0"/>
        <w:kinsoku/>
        <w:wordWrap/>
        <w:overflowPunct/>
        <w:topLinePunct w:val="0"/>
        <w:autoSpaceDE/>
        <w:autoSpaceDN/>
        <w:bidi w:val="0"/>
        <w:adjustRightInd/>
        <w:snapToGrid/>
        <w:ind w:firstLine="601" w:firstLineChars="200"/>
        <w:textAlignment w:val="auto"/>
        <w:outlineLvl w:val="1"/>
        <w:rPr>
          <w:shd w:val="clear" w:color="auto" w:fill="FFFFFF"/>
        </w:rPr>
      </w:pPr>
      <w:bookmarkStart w:id="9" w:name="_Toc15405"/>
      <w:r>
        <w:rPr>
          <w:rFonts w:hint="eastAsia"/>
          <w:shd w:val="clear" w:color="auto" w:fill="FFFFFF"/>
        </w:rPr>
        <w:t>（四）财政拨款收入支出决算总体情况说明</w:t>
      </w:r>
      <w:bookmarkEnd w:id="9"/>
    </w:p>
    <w:p>
      <w:pPr>
        <w:keepNext w:val="0"/>
        <w:keepLines w:val="0"/>
        <w:pageBreakBefore w:val="0"/>
        <w:kinsoku/>
        <w:wordWrap/>
        <w:overflowPunct/>
        <w:topLinePunct w:val="0"/>
        <w:autoSpaceDE/>
        <w:autoSpaceDN/>
        <w:bidi w:val="0"/>
        <w:adjustRightInd/>
        <w:snapToGrid/>
        <w:ind w:firstLine="600" w:firstLineChars="200"/>
        <w:textAlignment w:val="auto"/>
        <w:rPr>
          <w:rFonts w:ascii="华文仿宋" w:hAnsi="华文仿宋" w:eastAsia="华文仿宋"/>
          <w:bCs/>
          <w:sz w:val="30"/>
          <w:szCs w:val="30"/>
        </w:rPr>
      </w:pPr>
      <w:r>
        <w:rPr>
          <w:rFonts w:hint="eastAsia" w:ascii="华文仿宋" w:hAnsi="华文仿宋" w:eastAsia="华文仿宋" w:cs="宋体"/>
          <w:color w:val="000000"/>
          <w:kern w:val="0"/>
          <w:sz w:val="30"/>
          <w:szCs w:val="30"/>
        </w:rPr>
        <w:t>2020年度财政拨款收、支总计</w:t>
      </w:r>
      <w:r>
        <w:rPr>
          <w:rFonts w:ascii="华文仿宋" w:hAnsi="华文仿宋" w:eastAsia="华文仿宋" w:cs="宋体"/>
          <w:color w:val="000000"/>
          <w:kern w:val="0"/>
          <w:sz w:val="30"/>
          <w:szCs w:val="30"/>
        </w:rPr>
        <w:t>6,639.38</w:t>
      </w:r>
      <w:r>
        <w:rPr>
          <w:rFonts w:hint="eastAsia" w:ascii="华文仿宋" w:hAnsi="华文仿宋" w:eastAsia="华文仿宋" w:cs="宋体"/>
          <w:color w:val="000000"/>
          <w:kern w:val="0"/>
          <w:sz w:val="30"/>
          <w:szCs w:val="30"/>
        </w:rPr>
        <w:t>万元，与</w:t>
      </w:r>
      <w:r>
        <w:rPr>
          <w:rFonts w:ascii="华文仿宋" w:hAnsi="华文仿宋" w:eastAsia="华文仿宋" w:cs="宋体"/>
          <w:color w:val="000000"/>
          <w:kern w:val="0"/>
          <w:sz w:val="30"/>
          <w:szCs w:val="30"/>
        </w:rPr>
        <w:t>2019</w:t>
      </w:r>
      <w:r>
        <w:rPr>
          <w:rFonts w:hint="eastAsia" w:ascii="华文仿宋" w:hAnsi="华文仿宋" w:eastAsia="华文仿宋" w:cs="宋体"/>
          <w:color w:val="000000"/>
          <w:kern w:val="0"/>
          <w:sz w:val="30"/>
          <w:szCs w:val="30"/>
        </w:rPr>
        <w:t>年相比，财政拨款收、支总计各增加2261.51万元，增长51.66</w:t>
      </w:r>
      <w:r>
        <w:rPr>
          <w:rFonts w:ascii="华文仿宋" w:hAnsi="华文仿宋" w:eastAsia="华文仿宋" w:cs="宋体"/>
          <w:color w:val="000000"/>
          <w:kern w:val="0"/>
          <w:sz w:val="30"/>
          <w:szCs w:val="30"/>
        </w:rPr>
        <w:t>%</w:t>
      </w:r>
      <w:r>
        <w:rPr>
          <w:rFonts w:hint="eastAsia" w:ascii="华文仿宋" w:hAnsi="华文仿宋" w:eastAsia="华文仿宋" w:cs="宋体"/>
          <w:color w:val="000000"/>
          <w:kern w:val="0"/>
          <w:sz w:val="30"/>
          <w:szCs w:val="30"/>
        </w:rPr>
        <w:t>。主要原因是</w:t>
      </w:r>
      <w:r>
        <w:rPr>
          <w:rFonts w:hint="eastAsia" w:ascii="华文仿宋" w:hAnsi="华文仿宋" w:eastAsia="华文仿宋"/>
          <w:bCs/>
          <w:sz w:val="30"/>
          <w:szCs w:val="30"/>
        </w:rPr>
        <w:t>2020年度信息系统维护（省局专网整合建设等）、评估检测（特种设备风险评估、医疗强制检定等）、创建补助（惠企利民两直补助、省级标准化战略、星级食安办创建等）、宣传经费（食品安全公益广告制作投放等）项目的增加，增加了相应的经费收支。其中，惠企利民两直补助1512.2万元，是2020年度财政拨款收、支增加的最主要原因。</w:t>
      </w:r>
    </w:p>
    <w:p>
      <w:pPr>
        <w:pStyle w:val="23"/>
        <w:keepNext w:val="0"/>
        <w:keepLines w:val="0"/>
        <w:pageBreakBefore w:val="0"/>
        <w:kinsoku/>
        <w:wordWrap/>
        <w:overflowPunct/>
        <w:topLinePunct w:val="0"/>
        <w:bidi w:val="0"/>
        <w:snapToGrid/>
        <w:ind w:firstLine="601" w:firstLineChars="200"/>
        <w:textAlignment w:val="auto"/>
        <w:outlineLvl w:val="1"/>
        <w:rPr>
          <w:shd w:val="clear" w:color="auto" w:fill="FFFFFF"/>
        </w:rPr>
      </w:pPr>
      <w:bookmarkStart w:id="10" w:name="_Toc19227"/>
      <w:r>
        <w:rPr>
          <w:rFonts w:hint="eastAsia"/>
          <w:shd w:val="clear" w:color="auto" w:fill="FFFFFF"/>
        </w:rPr>
        <w:t>（五）一般公共预算财政拨款支出决算情况说明</w:t>
      </w:r>
      <w:bookmarkEnd w:id="10"/>
    </w:p>
    <w:p>
      <w:pPr>
        <w:keepNext w:val="0"/>
        <w:keepLines w:val="0"/>
        <w:pageBreakBefore w:val="0"/>
        <w:kinsoku/>
        <w:wordWrap/>
        <w:overflowPunct/>
        <w:topLinePunct w:val="0"/>
        <w:autoSpaceDE w:val="0"/>
        <w:autoSpaceDN w:val="0"/>
        <w:bidi w:val="0"/>
        <w:adjustRightInd w:val="0"/>
        <w:snapToGrid/>
        <w:spacing w:line="324" w:lineRule="auto"/>
        <w:ind w:firstLine="601" w:firstLineChars="200"/>
        <w:textAlignment w:val="auto"/>
        <w:rPr>
          <w:rFonts w:ascii="华文仿宋" w:hAnsi="华文仿宋" w:eastAsia="华文仿宋" w:cs="仿宋"/>
          <w:color w:val="000000"/>
          <w:sz w:val="30"/>
          <w:szCs w:val="30"/>
          <w:highlight w:val="white"/>
        </w:rPr>
      </w:pPr>
      <w:r>
        <w:rPr>
          <w:rFonts w:ascii="华文仿宋" w:hAnsi="华文仿宋" w:eastAsia="华文仿宋" w:cs="仿宋"/>
          <w:b/>
          <w:bCs/>
          <w:color w:val="000000"/>
          <w:sz w:val="30"/>
          <w:szCs w:val="30"/>
          <w:highlight w:val="white"/>
        </w:rPr>
        <w:t>1.</w:t>
      </w:r>
      <w:r>
        <w:rPr>
          <w:rFonts w:hint="eastAsia" w:ascii="华文仿宋" w:hAnsi="华文仿宋" w:eastAsia="华文仿宋" w:cs="仿宋"/>
          <w:b/>
          <w:bCs/>
          <w:color w:val="000000"/>
          <w:sz w:val="30"/>
          <w:szCs w:val="30"/>
          <w:highlight w:val="white"/>
        </w:rPr>
        <w:t>一般公共预算财政拨款支出决算总体情况。</w:t>
      </w:r>
    </w:p>
    <w:p>
      <w:pPr>
        <w:keepNext w:val="0"/>
        <w:keepLines w:val="0"/>
        <w:pageBreakBefore w:val="0"/>
        <w:kinsoku/>
        <w:wordWrap/>
        <w:overflowPunct/>
        <w:topLinePunct w:val="0"/>
        <w:autoSpaceDE w:val="0"/>
        <w:autoSpaceDN w:val="0"/>
        <w:bidi w:val="0"/>
        <w:adjustRightInd w:val="0"/>
        <w:snapToGrid/>
        <w:spacing w:line="324" w:lineRule="auto"/>
        <w:ind w:firstLine="600" w:firstLineChars="200"/>
        <w:textAlignment w:val="auto"/>
        <w:rPr>
          <w:rFonts w:ascii="华文仿宋" w:hAnsi="华文仿宋" w:eastAsia="华文仿宋" w:cs="仿宋"/>
          <w:sz w:val="30"/>
          <w:szCs w:val="30"/>
          <w:highlight w:val="white"/>
        </w:rPr>
      </w:pPr>
      <w:r>
        <w:rPr>
          <w:rFonts w:ascii="华文仿宋" w:hAnsi="华文仿宋" w:eastAsia="华文仿宋" w:cs="仿宋"/>
          <w:color w:val="000000"/>
          <w:sz w:val="30"/>
          <w:szCs w:val="30"/>
          <w:highlight w:val="white"/>
        </w:rPr>
        <w:t>2020</w:t>
      </w:r>
      <w:r>
        <w:rPr>
          <w:rFonts w:hint="eastAsia" w:ascii="华文仿宋" w:hAnsi="华文仿宋" w:eastAsia="华文仿宋" w:cs="仿宋"/>
          <w:color w:val="000000"/>
          <w:sz w:val="30"/>
          <w:szCs w:val="30"/>
          <w:highlight w:val="white"/>
        </w:rPr>
        <w:t>年度一般公共预算财政拨款支出</w:t>
      </w:r>
      <w:r>
        <w:rPr>
          <w:rFonts w:ascii="华文仿宋" w:hAnsi="华文仿宋" w:eastAsia="华文仿宋" w:cs="仿宋"/>
          <w:color w:val="000000"/>
          <w:sz w:val="30"/>
          <w:szCs w:val="30"/>
          <w:highlight w:val="white"/>
        </w:rPr>
        <w:t>6,474.58</w:t>
      </w:r>
      <w:r>
        <w:rPr>
          <w:rFonts w:hint="eastAsia" w:ascii="华文仿宋" w:hAnsi="华文仿宋" w:eastAsia="华文仿宋" w:cs="仿宋"/>
          <w:color w:val="000000"/>
          <w:sz w:val="30"/>
          <w:szCs w:val="30"/>
          <w:highlight w:val="white"/>
        </w:rPr>
        <w:t>万元，占本年支出合计的</w:t>
      </w:r>
      <w:r>
        <w:rPr>
          <w:rFonts w:ascii="华文仿宋" w:hAnsi="华文仿宋" w:eastAsia="华文仿宋" w:cs="仿宋"/>
          <w:color w:val="000000"/>
          <w:sz w:val="30"/>
          <w:szCs w:val="30"/>
          <w:highlight w:val="white"/>
        </w:rPr>
        <w:t>93.78%</w:t>
      </w:r>
      <w:r>
        <w:rPr>
          <w:rFonts w:hint="eastAsia" w:ascii="华文仿宋" w:hAnsi="华文仿宋" w:eastAsia="华文仿宋" w:cs="仿宋"/>
          <w:color w:val="000000"/>
          <w:sz w:val="30"/>
          <w:szCs w:val="30"/>
          <w:highlight w:val="white"/>
        </w:rPr>
        <w:t>。与</w:t>
      </w:r>
      <w:r>
        <w:rPr>
          <w:rFonts w:ascii="华文仿宋" w:hAnsi="华文仿宋" w:eastAsia="华文仿宋" w:cs="仿宋"/>
          <w:color w:val="000000"/>
          <w:sz w:val="30"/>
          <w:szCs w:val="30"/>
          <w:highlight w:val="white"/>
        </w:rPr>
        <w:t>2019</w:t>
      </w:r>
      <w:r>
        <w:rPr>
          <w:rFonts w:hint="eastAsia" w:ascii="华文仿宋" w:hAnsi="华文仿宋" w:eastAsia="华文仿宋" w:cs="仿宋"/>
          <w:color w:val="000000"/>
          <w:sz w:val="30"/>
          <w:szCs w:val="30"/>
          <w:highlight w:val="white"/>
        </w:rPr>
        <w:t>年相比，一般公共预算财政拨款支出增加2226.59万元，增长52.42</w:t>
      </w:r>
      <w:r>
        <w:rPr>
          <w:rFonts w:ascii="华文仿宋" w:hAnsi="华文仿宋" w:eastAsia="华文仿宋" w:cs="仿宋"/>
          <w:color w:val="000000"/>
          <w:sz w:val="30"/>
          <w:szCs w:val="30"/>
          <w:highlight w:val="white"/>
        </w:rPr>
        <w:t>%</w:t>
      </w:r>
      <w:r>
        <w:rPr>
          <w:rFonts w:hint="eastAsia" w:ascii="华文仿宋" w:hAnsi="华文仿宋" w:eastAsia="华文仿宋" w:cs="仿宋"/>
          <w:color w:val="000000"/>
          <w:sz w:val="30"/>
          <w:szCs w:val="30"/>
          <w:highlight w:val="white"/>
        </w:rPr>
        <w:t>。主要原因是：</w:t>
      </w:r>
      <w:r>
        <w:rPr>
          <w:rFonts w:hint="eastAsia" w:ascii="华文仿宋" w:hAnsi="华文仿宋" w:eastAsia="华文仿宋"/>
          <w:bCs/>
          <w:sz w:val="30"/>
          <w:szCs w:val="30"/>
        </w:rPr>
        <w:t>2020年度信息系统维护（省局专网整合建设等）、评估检测（特种设备风险评估、医疗强制检定等）、创建补助（惠企利民两直补助、省级标准化战略、星级食安办创建等）、宣传经费（食品安全公益广告制作投放等）项目的增加，增加了相应的经费收支。其中，惠企利民两直补助1512.2万元，是2020年度财政拨款收、支增加的最主要原因。</w:t>
      </w:r>
    </w:p>
    <w:p>
      <w:pPr>
        <w:autoSpaceDE w:val="0"/>
        <w:autoSpaceDN w:val="0"/>
        <w:adjustRightInd w:val="0"/>
        <w:spacing w:line="324" w:lineRule="auto"/>
        <w:ind w:firstLine="601" w:firstLineChars="200"/>
        <w:rPr>
          <w:rFonts w:ascii="华文仿宋" w:hAnsi="华文仿宋" w:eastAsia="华文仿宋" w:cs="仿宋"/>
          <w:color w:val="000000"/>
          <w:sz w:val="30"/>
          <w:szCs w:val="30"/>
          <w:highlight w:val="white"/>
        </w:rPr>
      </w:pPr>
      <w:r>
        <w:rPr>
          <w:rFonts w:ascii="华文仿宋" w:hAnsi="华文仿宋" w:eastAsia="华文仿宋" w:cs="仿宋"/>
          <w:b/>
          <w:bCs/>
          <w:color w:val="000000"/>
          <w:sz w:val="30"/>
          <w:szCs w:val="30"/>
          <w:highlight w:val="white"/>
        </w:rPr>
        <w:t>2.</w:t>
      </w:r>
      <w:r>
        <w:rPr>
          <w:rFonts w:hint="eastAsia" w:ascii="华文仿宋" w:hAnsi="华文仿宋" w:eastAsia="华文仿宋" w:cs="仿宋"/>
          <w:b/>
          <w:bCs/>
          <w:color w:val="000000"/>
          <w:sz w:val="30"/>
          <w:szCs w:val="30"/>
          <w:highlight w:val="white"/>
        </w:rPr>
        <w:t>一般公共预算财政拨款支出决算结构情况。</w:t>
      </w:r>
    </w:p>
    <w:p>
      <w:pPr>
        <w:autoSpaceDE w:val="0"/>
        <w:autoSpaceDN w:val="0"/>
        <w:adjustRightInd w:val="0"/>
        <w:spacing w:line="324" w:lineRule="auto"/>
        <w:ind w:firstLine="600" w:firstLineChars="200"/>
        <w:rPr>
          <w:rFonts w:ascii="华文仿宋" w:hAnsi="华文仿宋" w:eastAsia="华文仿宋" w:cs="仿宋"/>
          <w:color w:val="000000"/>
          <w:sz w:val="30"/>
          <w:szCs w:val="30"/>
          <w:highlight w:val="white"/>
        </w:rPr>
      </w:pPr>
      <w:r>
        <w:rPr>
          <w:rFonts w:ascii="华文仿宋" w:hAnsi="华文仿宋" w:eastAsia="华文仿宋" w:cs="仿宋"/>
          <w:color w:val="000000"/>
          <w:sz w:val="30"/>
          <w:szCs w:val="30"/>
          <w:highlight w:val="white"/>
        </w:rPr>
        <w:t>2020</w:t>
      </w:r>
      <w:r>
        <w:rPr>
          <w:rFonts w:hint="eastAsia" w:ascii="华文仿宋" w:hAnsi="华文仿宋" w:eastAsia="华文仿宋" w:cs="仿宋"/>
          <w:color w:val="000000"/>
          <w:sz w:val="30"/>
          <w:szCs w:val="30"/>
          <w:highlight w:val="white"/>
        </w:rPr>
        <w:t>年度一般公共预算财政拨款支出</w:t>
      </w:r>
      <w:r>
        <w:rPr>
          <w:rFonts w:ascii="华文仿宋" w:hAnsi="华文仿宋" w:eastAsia="华文仿宋" w:cs="仿宋"/>
          <w:color w:val="000000"/>
          <w:sz w:val="30"/>
          <w:szCs w:val="30"/>
          <w:highlight w:val="white"/>
        </w:rPr>
        <w:t>6,474.58</w:t>
      </w:r>
      <w:r>
        <w:rPr>
          <w:rFonts w:hint="eastAsia" w:ascii="华文仿宋" w:hAnsi="华文仿宋" w:eastAsia="华文仿宋" w:cs="仿宋"/>
          <w:color w:val="000000"/>
          <w:sz w:val="30"/>
          <w:szCs w:val="30"/>
          <w:highlight w:val="white"/>
        </w:rPr>
        <w:t>万元，主要用于以下方面：一般公共服务（类）支出</w:t>
      </w:r>
      <w:r>
        <w:rPr>
          <w:rFonts w:ascii="华文仿宋" w:hAnsi="华文仿宋" w:eastAsia="华文仿宋" w:cs="仿宋"/>
          <w:color w:val="000000"/>
          <w:sz w:val="30"/>
          <w:szCs w:val="30"/>
          <w:highlight w:val="white"/>
        </w:rPr>
        <w:t>5,530.9</w:t>
      </w:r>
      <w:r>
        <w:rPr>
          <w:rFonts w:hint="eastAsia" w:ascii="华文仿宋" w:hAnsi="华文仿宋" w:eastAsia="华文仿宋" w:cs="仿宋"/>
          <w:color w:val="000000"/>
          <w:sz w:val="30"/>
          <w:szCs w:val="30"/>
          <w:highlight w:val="white"/>
        </w:rPr>
        <w:t>万元，占</w:t>
      </w:r>
      <w:r>
        <w:rPr>
          <w:rFonts w:ascii="华文仿宋" w:hAnsi="华文仿宋" w:eastAsia="华文仿宋" w:cs="仿宋"/>
          <w:color w:val="000000"/>
          <w:sz w:val="30"/>
          <w:szCs w:val="30"/>
          <w:highlight w:val="white"/>
        </w:rPr>
        <w:t>85.42%</w:t>
      </w:r>
      <w:r>
        <w:rPr>
          <w:rFonts w:hint="eastAsia" w:ascii="华文仿宋" w:hAnsi="华文仿宋" w:eastAsia="华文仿宋" w:cs="仿宋"/>
          <w:color w:val="000000"/>
          <w:sz w:val="30"/>
          <w:szCs w:val="30"/>
          <w:highlight w:val="white"/>
        </w:rPr>
        <w:t>；国防（类）支出</w:t>
      </w:r>
      <w:r>
        <w:rPr>
          <w:rFonts w:ascii="华文仿宋" w:hAnsi="华文仿宋" w:eastAsia="华文仿宋" w:cs="仿宋"/>
          <w:color w:val="000000"/>
          <w:sz w:val="30"/>
          <w:szCs w:val="30"/>
          <w:highlight w:val="white"/>
        </w:rPr>
        <w:t>0</w:t>
      </w:r>
      <w:r>
        <w:rPr>
          <w:rFonts w:hint="eastAsia" w:ascii="华文仿宋" w:hAnsi="华文仿宋" w:eastAsia="华文仿宋" w:cs="仿宋"/>
          <w:color w:val="000000"/>
          <w:sz w:val="30"/>
          <w:szCs w:val="30"/>
          <w:highlight w:val="white"/>
        </w:rPr>
        <w:t>万元</w:t>
      </w:r>
      <w:r>
        <w:rPr>
          <w:rFonts w:ascii="华文仿宋" w:hAnsi="华文仿宋" w:eastAsia="华文仿宋" w:cs="仿宋"/>
          <w:color w:val="000000"/>
          <w:sz w:val="30"/>
          <w:szCs w:val="30"/>
          <w:highlight w:val="white"/>
        </w:rPr>
        <w:t>,</w:t>
      </w:r>
      <w:r>
        <w:rPr>
          <w:rFonts w:hint="eastAsia" w:ascii="华文仿宋" w:hAnsi="华文仿宋" w:eastAsia="华文仿宋" w:cs="仿宋"/>
          <w:color w:val="000000"/>
          <w:sz w:val="30"/>
          <w:szCs w:val="30"/>
          <w:highlight w:val="white"/>
        </w:rPr>
        <w:t>占</w:t>
      </w:r>
      <w:r>
        <w:rPr>
          <w:rFonts w:ascii="华文仿宋" w:hAnsi="华文仿宋" w:eastAsia="华文仿宋" w:cs="仿宋"/>
          <w:color w:val="000000"/>
          <w:sz w:val="30"/>
          <w:szCs w:val="30"/>
          <w:highlight w:val="white"/>
        </w:rPr>
        <w:t>0%</w:t>
      </w:r>
      <w:r>
        <w:rPr>
          <w:rFonts w:hint="eastAsia" w:ascii="华文仿宋" w:hAnsi="华文仿宋" w:eastAsia="华文仿宋" w:cs="仿宋"/>
          <w:color w:val="000000"/>
          <w:sz w:val="30"/>
          <w:szCs w:val="30"/>
          <w:highlight w:val="white"/>
        </w:rPr>
        <w:t>；公共安全（类）支出</w:t>
      </w:r>
      <w:r>
        <w:rPr>
          <w:rFonts w:ascii="华文仿宋" w:hAnsi="华文仿宋" w:eastAsia="华文仿宋" w:cs="仿宋"/>
          <w:color w:val="000000"/>
          <w:sz w:val="30"/>
          <w:szCs w:val="30"/>
          <w:highlight w:val="white"/>
        </w:rPr>
        <w:t>0</w:t>
      </w:r>
      <w:r>
        <w:rPr>
          <w:rFonts w:hint="eastAsia" w:ascii="华文仿宋" w:hAnsi="华文仿宋" w:eastAsia="华文仿宋" w:cs="仿宋"/>
          <w:color w:val="000000"/>
          <w:sz w:val="30"/>
          <w:szCs w:val="30"/>
          <w:highlight w:val="white"/>
        </w:rPr>
        <w:t>万元</w:t>
      </w:r>
      <w:r>
        <w:rPr>
          <w:rFonts w:ascii="华文仿宋" w:hAnsi="华文仿宋" w:eastAsia="华文仿宋" w:cs="仿宋"/>
          <w:color w:val="000000"/>
          <w:sz w:val="30"/>
          <w:szCs w:val="30"/>
          <w:highlight w:val="white"/>
        </w:rPr>
        <w:t>,</w:t>
      </w:r>
      <w:r>
        <w:rPr>
          <w:rFonts w:hint="eastAsia" w:ascii="华文仿宋" w:hAnsi="华文仿宋" w:eastAsia="华文仿宋" w:cs="仿宋"/>
          <w:color w:val="000000"/>
          <w:sz w:val="30"/>
          <w:szCs w:val="30"/>
          <w:highlight w:val="white"/>
        </w:rPr>
        <w:t>占</w:t>
      </w:r>
      <w:r>
        <w:rPr>
          <w:rFonts w:ascii="华文仿宋" w:hAnsi="华文仿宋" w:eastAsia="华文仿宋" w:cs="仿宋"/>
          <w:color w:val="000000"/>
          <w:sz w:val="30"/>
          <w:szCs w:val="30"/>
          <w:highlight w:val="white"/>
        </w:rPr>
        <w:t>0%</w:t>
      </w:r>
      <w:r>
        <w:rPr>
          <w:rFonts w:hint="eastAsia" w:ascii="华文仿宋" w:hAnsi="华文仿宋" w:eastAsia="华文仿宋" w:cs="仿宋"/>
          <w:color w:val="000000"/>
          <w:sz w:val="30"/>
          <w:szCs w:val="30"/>
          <w:highlight w:val="white"/>
        </w:rPr>
        <w:t>；教育（类）支出</w:t>
      </w:r>
      <w:r>
        <w:rPr>
          <w:rFonts w:ascii="华文仿宋" w:hAnsi="华文仿宋" w:eastAsia="华文仿宋" w:cs="仿宋"/>
          <w:color w:val="000000"/>
          <w:sz w:val="30"/>
          <w:szCs w:val="30"/>
          <w:highlight w:val="white"/>
        </w:rPr>
        <w:t>0</w:t>
      </w:r>
      <w:r>
        <w:rPr>
          <w:rFonts w:hint="eastAsia" w:ascii="华文仿宋" w:hAnsi="华文仿宋" w:eastAsia="华文仿宋" w:cs="仿宋"/>
          <w:color w:val="000000"/>
          <w:sz w:val="30"/>
          <w:szCs w:val="30"/>
          <w:highlight w:val="white"/>
        </w:rPr>
        <w:t>万元</w:t>
      </w:r>
      <w:r>
        <w:rPr>
          <w:rFonts w:ascii="华文仿宋" w:hAnsi="华文仿宋" w:eastAsia="华文仿宋" w:cs="仿宋"/>
          <w:color w:val="000000"/>
          <w:sz w:val="30"/>
          <w:szCs w:val="30"/>
          <w:highlight w:val="white"/>
        </w:rPr>
        <w:t>,</w:t>
      </w:r>
      <w:r>
        <w:rPr>
          <w:rFonts w:hint="eastAsia" w:ascii="华文仿宋" w:hAnsi="华文仿宋" w:eastAsia="华文仿宋" w:cs="仿宋"/>
          <w:color w:val="000000"/>
          <w:sz w:val="30"/>
          <w:szCs w:val="30"/>
          <w:highlight w:val="white"/>
        </w:rPr>
        <w:t>占</w:t>
      </w:r>
      <w:r>
        <w:rPr>
          <w:rFonts w:ascii="华文仿宋" w:hAnsi="华文仿宋" w:eastAsia="华文仿宋" w:cs="仿宋"/>
          <w:color w:val="000000"/>
          <w:sz w:val="30"/>
          <w:szCs w:val="30"/>
          <w:highlight w:val="white"/>
        </w:rPr>
        <w:t>0%</w:t>
      </w:r>
      <w:r>
        <w:rPr>
          <w:rFonts w:hint="eastAsia" w:ascii="华文仿宋" w:hAnsi="华文仿宋" w:eastAsia="华文仿宋" w:cs="仿宋"/>
          <w:color w:val="000000"/>
          <w:sz w:val="30"/>
          <w:szCs w:val="30"/>
          <w:highlight w:val="white"/>
        </w:rPr>
        <w:t>；科学技术（类）支出</w:t>
      </w:r>
      <w:r>
        <w:rPr>
          <w:rFonts w:ascii="华文仿宋" w:hAnsi="华文仿宋" w:eastAsia="华文仿宋" w:cs="仿宋"/>
          <w:color w:val="000000"/>
          <w:sz w:val="30"/>
          <w:szCs w:val="30"/>
          <w:highlight w:val="white"/>
        </w:rPr>
        <w:t>86.4</w:t>
      </w:r>
      <w:r>
        <w:rPr>
          <w:rFonts w:hint="eastAsia" w:ascii="华文仿宋" w:hAnsi="华文仿宋" w:eastAsia="华文仿宋" w:cs="仿宋"/>
          <w:color w:val="000000"/>
          <w:sz w:val="30"/>
          <w:szCs w:val="30"/>
          <w:highlight w:val="white"/>
        </w:rPr>
        <w:t>5万元</w:t>
      </w:r>
      <w:r>
        <w:rPr>
          <w:rFonts w:ascii="华文仿宋" w:hAnsi="华文仿宋" w:eastAsia="华文仿宋" w:cs="仿宋"/>
          <w:color w:val="000000"/>
          <w:sz w:val="30"/>
          <w:szCs w:val="30"/>
          <w:highlight w:val="white"/>
        </w:rPr>
        <w:t>,</w:t>
      </w:r>
      <w:r>
        <w:rPr>
          <w:rFonts w:hint="eastAsia" w:ascii="华文仿宋" w:hAnsi="华文仿宋" w:eastAsia="华文仿宋" w:cs="仿宋"/>
          <w:color w:val="000000"/>
          <w:sz w:val="30"/>
          <w:szCs w:val="30"/>
          <w:highlight w:val="white"/>
        </w:rPr>
        <w:t>占</w:t>
      </w:r>
      <w:r>
        <w:rPr>
          <w:rFonts w:ascii="华文仿宋" w:hAnsi="华文仿宋" w:eastAsia="华文仿宋" w:cs="仿宋"/>
          <w:color w:val="000000"/>
          <w:sz w:val="30"/>
          <w:szCs w:val="30"/>
          <w:highlight w:val="white"/>
        </w:rPr>
        <w:t>1.34%</w:t>
      </w:r>
      <w:r>
        <w:rPr>
          <w:rFonts w:hint="eastAsia" w:ascii="华文仿宋" w:hAnsi="华文仿宋" w:eastAsia="华文仿宋" w:cs="仿宋"/>
          <w:color w:val="000000"/>
          <w:sz w:val="30"/>
          <w:szCs w:val="30"/>
          <w:highlight w:val="white"/>
        </w:rPr>
        <w:t>；文化旅游体育与传媒（类）支出</w:t>
      </w:r>
      <w:r>
        <w:rPr>
          <w:rFonts w:ascii="华文仿宋" w:hAnsi="华文仿宋" w:eastAsia="华文仿宋" w:cs="仿宋"/>
          <w:color w:val="000000"/>
          <w:sz w:val="30"/>
          <w:szCs w:val="30"/>
          <w:highlight w:val="white"/>
        </w:rPr>
        <w:t>0</w:t>
      </w:r>
      <w:r>
        <w:rPr>
          <w:rFonts w:hint="eastAsia" w:ascii="华文仿宋" w:hAnsi="华文仿宋" w:eastAsia="华文仿宋" w:cs="仿宋"/>
          <w:color w:val="000000"/>
          <w:sz w:val="30"/>
          <w:szCs w:val="30"/>
          <w:highlight w:val="white"/>
        </w:rPr>
        <w:t>万元</w:t>
      </w:r>
      <w:r>
        <w:rPr>
          <w:rFonts w:ascii="华文仿宋" w:hAnsi="华文仿宋" w:eastAsia="华文仿宋" w:cs="仿宋"/>
          <w:color w:val="000000"/>
          <w:sz w:val="30"/>
          <w:szCs w:val="30"/>
          <w:highlight w:val="white"/>
        </w:rPr>
        <w:t>,</w:t>
      </w:r>
      <w:r>
        <w:rPr>
          <w:rFonts w:hint="eastAsia" w:ascii="华文仿宋" w:hAnsi="华文仿宋" w:eastAsia="华文仿宋" w:cs="仿宋"/>
          <w:color w:val="000000"/>
          <w:sz w:val="30"/>
          <w:szCs w:val="30"/>
          <w:highlight w:val="white"/>
        </w:rPr>
        <w:t>占</w:t>
      </w:r>
      <w:r>
        <w:rPr>
          <w:rFonts w:ascii="华文仿宋" w:hAnsi="华文仿宋" w:eastAsia="华文仿宋" w:cs="仿宋"/>
          <w:color w:val="000000"/>
          <w:sz w:val="30"/>
          <w:szCs w:val="30"/>
          <w:highlight w:val="white"/>
        </w:rPr>
        <w:t>0%</w:t>
      </w:r>
      <w:r>
        <w:rPr>
          <w:rFonts w:hint="eastAsia" w:ascii="华文仿宋" w:hAnsi="华文仿宋" w:eastAsia="华文仿宋" w:cs="仿宋"/>
          <w:color w:val="000000"/>
          <w:sz w:val="30"/>
          <w:szCs w:val="30"/>
          <w:highlight w:val="white"/>
        </w:rPr>
        <w:t>；社会保障和就业（类）支出</w:t>
      </w:r>
      <w:r>
        <w:rPr>
          <w:rFonts w:ascii="华文仿宋" w:hAnsi="华文仿宋" w:eastAsia="华文仿宋" w:cs="仿宋"/>
          <w:color w:val="000000"/>
          <w:sz w:val="30"/>
          <w:szCs w:val="30"/>
          <w:highlight w:val="white"/>
        </w:rPr>
        <w:t>321.54</w:t>
      </w:r>
      <w:r>
        <w:rPr>
          <w:rFonts w:hint="eastAsia" w:ascii="华文仿宋" w:hAnsi="华文仿宋" w:eastAsia="华文仿宋" w:cs="仿宋"/>
          <w:color w:val="000000"/>
          <w:sz w:val="30"/>
          <w:szCs w:val="30"/>
          <w:highlight w:val="white"/>
        </w:rPr>
        <w:t>万元</w:t>
      </w:r>
      <w:r>
        <w:rPr>
          <w:rFonts w:ascii="华文仿宋" w:hAnsi="华文仿宋" w:eastAsia="华文仿宋" w:cs="仿宋"/>
          <w:color w:val="000000"/>
          <w:sz w:val="30"/>
          <w:szCs w:val="30"/>
          <w:highlight w:val="white"/>
        </w:rPr>
        <w:t>,</w:t>
      </w:r>
      <w:r>
        <w:rPr>
          <w:rFonts w:hint="eastAsia" w:ascii="华文仿宋" w:hAnsi="华文仿宋" w:eastAsia="华文仿宋" w:cs="仿宋"/>
          <w:color w:val="000000"/>
          <w:sz w:val="30"/>
          <w:szCs w:val="30"/>
          <w:highlight w:val="white"/>
        </w:rPr>
        <w:t>占</w:t>
      </w:r>
      <w:r>
        <w:rPr>
          <w:rFonts w:ascii="华文仿宋" w:hAnsi="华文仿宋" w:eastAsia="华文仿宋" w:cs="仿宋"/>
          <w:color w:val="000000"/>
          <w:sz w:val="30"/>
          <w:szCs w:val="30"/>
          <w:highlight w:val="white"/>
        </w:rPr>
        <w:t>4.97%</w:t>
      </w:r>
      <w:r>
        <w:rPr>
          <w:rFonts w:hint="eastAsia" w:ascii="华文仿宋" w:hAnsi="华文仿宋" w:eastAsia="华文仿宋" w:cs="仿宋"/>
          <w:color w:val="000000"/>
          <w:sz w:val="30"/>
          <w:szCs w:val="30"/>
          <w:highlight w:val="white"/>
        </w:rPr>
        <w:t>；卫生健康（类）支出</w:t>
      </w:r>
      <w:r>
        <w:rPr>
          <w:rFonts w:ascii="华文仿宋" w:hAnsi="华文仿宋" w:eastAsia="华文仿宋" w:cs="仿宋"/>
          <w:color w:val="000000"/>
          <w:sz w:val="30"/>
          <w:szCs w:val="30"/>
          <w:highlight w:val="white"/>
        </w:rPr>
        <w:t>200.25</w:t>
      </w:r>
      <w:r>
        <w:rPr>
          <w:rFonts w:hint="eastAsia" w:ascii="华文仿宋" w:hAnsi="华文仿宋" w:eastAsia="华文仿宋" w:cs="仿宋"/>
          <w:color w:val="000000"/>
          <w:sz w:val="30"/>
          <w:szCs w:val="30"/>
          <w:highlight w:val="white"/>
        </w:rPr>
        <w:t>万元</w:t>
      </w:r>
      <w:r>
        <w:rPr>
          <w:rFonts w:ascii="华文仿宋" w:hAnsi="华文仿宋" w:eastAsia="华文仿宋" w:cs="仿宋"/>
          <w:color w:val="000000"/>
          <w:sz w:val="30"/>
          <w:szCs w:val="30"/>
          <w:highlight w:val="white"/>
        </w:rPr>
        <w:t>,</w:t>
      </w:r>
      <w:r>
        <w:rPr>
          <w:rFonts w:hint="eastAsia" w:ascii="华文仿宋" w:hAnsi="华文仿宋" w:eastAsia="华文仿宋" w:cs="仿宋"/>
          <w:color w:val="000000"/>
          <w:sz w:val="30"/>
          <w:szCs w:val="30"/>
          <w:highlight w:val="white"/>
        </w:rPr>
        <w:t>占</w:t>
      </w:r>
      <w:r>
        <w:rPr>
          <w:rFonts w:ascii="华文仿宋" w:hAnsi="华文仿宋" w:eastAsia="华文仿宋" w:cs="仿宋"/>
          <w:color w:val="000000"/>
          <w:sz w:val="30"/>
          <w:szCs w:val="30"/>
          <w:highlight w:val="white"/>
        </w:rPr>
        <w:t>3.09%</w:t>
      </w:r>
      <w:r>
        <w:rPr>
          <w:rFonts w:hint="eastAsia" w:ascii="华文仿宋" w:hAnsi="华文仿宋" w:eastAsia="华文仿宋" w:cs="仿宋"/>
          <w:color w:val="000000"/>
          <w:sz w:val="30"/>
          <w:szCs w:val="30"/>
          <w:highlight w:val="white"/>
        </w:rPr>
        <w:t>；节能环保（类）支出</w:t>
      </w:r>
      <w:r>
        <w:rPr>
          <w:rFonts w:ascii="华文仿宋" w:hAnsi="华文仿宋" w:eastAsia="华文仿宋" w:cs="仿宋"/>
          <w:color w:val="000000"/>
          <w:sz w:val="30"/>
          <w:szCs w:val="30"/>
          <w:highlight w:val="white"/>
        </w:rPr>
        <w:t>0</w:t>
      </w:r>
      <w:r>
        <w:rPr>
          <w:rFonts w:hint="eastAsia" w:ascii="华文仿宋" w:hAnsi="华文仿宋" w:eastAsia="华文仿宋" w:cs="仿宋"/>
          <w:color w:val="000000"/>
          <w:sz w:val="30"/>
          <w:szCs w:val="30"/>
          <w:highlight w:val="white"/>
        </w:rPr>
        <w:t>万元</w:t>
      </w:r>
      <w:r>
        <w:rPr>
          <w:rFonts w:ascii="华文仿宋" w:hAnsi="华文仿宋" w:eastAsia="华文仿宋" w:cs="仿宋"/>
          <w:color w:val="000000"/>
          <w:sz w:val="30"/>
          <w:szCs w:val="30"/>
          <w:highlight w:val="white"/>
        </w:rPr>
        <w:t>,</w:t>
      </w:r>
      <w:r>
        <w:rPr>
          <w:rFonts w:hint="eastAsia" w:ascii="华文仿宋" w:hAnsi="华文仿宋" w:eastAsia="华文仿宋" w:cs="仿宋"/>
          <w:color w:val="000000"/>
          <w:sz w:val="30"/>
          <w:szCs w:val="30"/>
          <w:highlight w:val="white"/>
        </w:rPr>
        <w:t>占</w:t>
      </w:r>
      <w:r>
        <w:rPr>
          <w:rFonts w:ascii="华文仿宋" w:hAnsi="华文仿宋" w:eastAsia="华文仿宋" w:cs="仿宋"/>
          <w:color w:val="000000"/>
          <w:sz w:val="30"/>
          <w:szCs w:val="30"/>
          <w:highlight w:val="white"/>
        </w:rPr>
        <w:t>0%</w:t>
      </w:r>
      <w:r>
        <w:rPr>
          <w:rFonts w:hint="eastAsia" w:ascii="华文仿宋" w:hAnsi="华文仿宋" w:eastAsia="华文仿宋" w:cs="仿宋"/>
          <w:color w:val="000000"/>
          <w:sz w:val="30"/>
          <w:szCs w:val="30"/>
          <w:highlight w:val="white"/>
        </w:rPr>
        <w:t>；城乡社区（类）支出</w:t>
      </w:r>
      <w:r>
        <w:rPr>
          <w:rFonts w:ascii="华文仿宋" w:hAnsi="华文仿宋" w:eastAsia="华文仿宋" w:cs="仿宋"/>
          <w:color w:val="000000"/>
          <w:sz w:val="30"/>
          <w:szCs w:val="30"/>
          <w:highlight w:val="white"/>
        </w:rPr>
        <w:t>9</w:t>
      </w:r>
      <w:r>
        <w:rPr>
          <w:rFonts w:hint="eastAsia" w:ascii="华文仿宋" w:hAnsi="华文仿宋" w:eastAsia="华文仿宋" w:cs="仿宋"/>
          <w:color w:val="000000"/>
          <w:sz w:val="30"/>
          <w:szCs w:val="30"/>
          <w:highlight w:val="white"/>
        </w:rPr>
        <w:t>万元</w:t>
      </w:r>
      <w:r>
        <w:rPr>
          <w:rFonts w:ascii="华文仿宋" w:hAnsi="华文仿宋" w:eastAsia="华文仿宋" w:cs="仿宋"/>
          <w:color w:val="000000"/>
          <w:sz w:val="30"/>
          <w:szCs w:val="30"/>
          <w:highlight w:val="white"/>
        </w:rPr>
        <w:t>,</w:t>
      </w:r>
      <w:r>
        <w:rPr>
          <w:rFonts w:hint="eastAsia" w:ascii="华文仿宋" w:hAnsi="华文仿宋" w:eastAsia="华文仿宋" w:cs="仿宋"/>
          <w:color w:val="000000"/>
          <w:sz w:val="30"/>
          <w:szCs w:val="30"/>
          <w:highlight w:val="white"/>
        </w:rPr>
        <w:t>占</w:t>
      </w:r>
      <w:r>
        <w:rPr>
          <w:rFonts w:ascii="华文仿宋" w:hAnsi="华文仿宋" w:eastAsia="华文仿宋" w:cs="仿宋"/>
          <w:color w:val="000000"/>
          <w:sz w:val="30"/>
          <w:szCs w:val="30"/>
          <w:highlight w:val="white"/>
        </w:rPr>
        <w:t>0.14%</w:t>
      </w:r>
      <w:r>
        <w:rPr>
          <w:rFonts w:hint="eastAsia" w:ascii="华文仿宋" w:hAnsi="华文仿宋" w:eastAsia="华文仿宋" w:cs="仿宋"/>
          <w:color w:val="000000"/>
          <w:sz w:val="30"/>
          <w:szCs w:val="30"/>
          <w:highlight w:val="white"/>
        </w:rPr>
        <w:t>；农林水（类）支出</w:t>
      </w:r>
      <w:r>
        <w:rPr>
          <w:rFonts w:ascii="华文仿宋" w:hAnsi="华文仿宋" w:eastAsia="华文仿宋" w:cs="仿宋"/>
          <w:color w:val="000000"/>
          <w:sz w:val="30"/>
          <w:szCs w:val="30"/>
          <w:highlight w:val="white"/>
        </w:rPr>
        <w:t>0</w:t>
      </w:r>
      <w:r>
        <w:rPr>
          <w:rFonts w:hint="eastAsia" w:ascii="华文仿宋" w:hAnsi="华文仿宋" w:eastAsia="华文仿宋" w:cs="仿宋"/>
          <w:color w:val="000000"/>
          <w:sz w:val="30"/>
          <w:szCs w:val="30"/>
          <w:highlight w:val="white"/>
        </w:rPr>
        <w:t>万元</w:t>
      </w:r>
      <w:r>
        <w:rPr>
          <w:rFonts w:ascii="华文仿宋" w:hAnsi="华文仿宋" w:eastAsia="华文仿宋" w:cs="仿宋"/>
          <w:color w:val="000000"/>
          <w:sz w:val="30"/>
          <w:szCs w:val="30"/>
          <w:highlight w:val="white"/>
        </w:rPr>
        <w:t>,</w:t>
      </w:r>
      <w:r>
        <w:rPr>
          <w:rFonts w:hint="eastAsia" w:ascii="华文仿宋" w:hAnsi="华文仿宋" w:eastAsia="华文仿宋" w:cs="仿宋"/>
          <w:color w:val="000000"/>
          <w:sz w:val="30"/>
          <w:szCs w:val="30"/>
          <w:highlight w:val="white"/>
        </w:rPr>
        <w:t>占</w:t>
      </w:r>
      <w:r>
        <w:rPr>
          <w:rFonts w:ascii="华文仿宋" w:hAnsi="华文仿宋" w:eastAsia="华文仿宋" w:cs="仿宋"/>
          <w:color w:val="000000"/>
          <w:sz w:val="30"/>
          <w:szCs w:val="30"/>
          <w:highlight w:val="white"/>
        </w:rPr>
        <w:t>0%</w:t>
      </w:r>
      <w:r>
        <w:rPr>
          <w:rFonts w:hint="eastAsia" w:ascii="华文仿宋" w:hAnsi="华文仿宋" w:eastAsia="华文仿宋" w:cs="仿宋"/>
          <w:color w:val="000000"/>
          <w:sz w:val="30"/>
          <w:szCs w:val="30"/>
          <w:highlight w:val="white"/>
        </w:rPr>
        <w:t>；交通运输（类）支出</w:t>
      </w:r>
      <w:r>
        <w:rPr>
          <w:rFonts w:ascii="华文仿宋" w:hAnsi="华文仿宋" w:eastAsia="华文仿宋" w:cs="仿宋"/>
          <w:color w:val="000000"/>
          <w:sz w:val="30"/>
          <w:szCs w:val="30"/>
          <w:highlight w:val="white"/>
        </w:rPr>
        <w:t>0</w:t>
      </w:r>
      <w:r>
        <w:rPr>
          <w:rFonts w:hint="eastAsia" w:ascii="华文仿宋" w:hAnsi="华文仿宋" w:eastAsia="华文仿宋" w:cs="仿宋"/>
          <w:color w:val="000000"/>
          <w:sz w:val="30"/>
          <w:szCs w:val="30"/>
          <w:highlight w:val="white"/>
        </w:rPr>
        <w:t>万元</w:t>
      </w:r>
      <w:r>
        <w:rPr>
          <w:rFonts w:ascii="华文仿宋" w:hAnsi="华文仿宋" w:eastAsia="华文仿宋" w:cs="仿宋"/>
          <w:color w:val="000000"/>
          <w:sz w:val="30"/>
          <w:szCs w:val="30"/>
          <w:highlight w:val="white"/>
        </w:rPr>
        <w:t>,</w:t>
      </w:r>
      <w:r>
        <w:rPr>
          <w:rFonts w:hint="eastAsia" w:ascii="华文仿宋" w:hAnsi="华文仿宋" w:eastAsia="华文仿宋" w:cs="仿宋"/>
          <w:color w:val="000000"/>
          <w:sz w:val="30"/>
          <w:szCs w:val="30"/>
          <w:highlight w:val="white"/>
        </w:rPr>
        <w:t>占</w:t>
      </w:r>
      <w:r>
        <w:rPr>
          <w:rFonts w:ascii="华文仿宋" w:hAnsi="华文仿宋" w:eastAsia="华文仿宋" w:cs="仿宋"/>
          <w:color w:val="000000"/>
          <w:sz w:val="30"/>
          <w:szCs w:val="30"/>
          <w:highlight w:val="white"/>
        </w:rPr>
        <w:t>0%</w:t>
      </w:r>
      <w:r>
        <w:rPr>
          <w:rFonts w:hint="eastAsia" w:ascii="华文仿宋" w:hAnsi="华文仿宋" w:eastAsia="华文仿宋" w:cs="仿宋"/>
          <w:color w:val="000000"/>
          <w:sz w:val="30"/>
          <w:szCs w:val="30"/>
          <w:highlight w:val="white"/>
        </w:rPr>
        <w:t>；资源勘探工业信息等（类）支出</w:t>
      </w:r>
      <w:r>
        <w:rPr>
          <w:rFonts w:ascii="华文仿宋" w:hAnsi="华文仿宋" w:eastAsia="华文仿宋" w:cs="仿宋"/>
          <w:color w:val="000000"/>
          <w:sz w:val="30"/>
          <w:szCs w:val="30"/>
          <w:highlight w:val="white"/>
        </w:rPr>
        <w:t>0</w:t>
      </w:r>
      <w:r>
        <w:rPr>
          <w:rFonts w:hint="eastAsia" w:ascii="华文仿宋" w:hAnsi="华文仿宋" w:eastAsia="华文仿宋" w:cs="仿宋"/>
          <w:color w:val="000000"/>
          <w:sz w:val="30"/>
          <w:szCs w:val="30"/>
          <w:highlight w:val="white"/>
        </w:rPr>
        <w:t>万元</w:t>
      </w:r>
      <w:r>
        <w:rPr>
          <w:rFonts w:ascii="华文仿宋" w:hAnsi="华文仿宋" w:eastAsia="华文仿宋" w:cs="仿宋"/>
          <w:color w:val="000000"/>
          <w:sz w:val="30"/>
          <w:szCs w:val="30"/>
          <w:highlight w:val="white"/>
        </w:rPr>
        <w:t>,</w:t>
      </w:r>
      <w:r>
        <w:rPr>
          <w:rFonts w:hint="eastAsia" w:ascii="华文仿宋" w:hAnsi="华文仿宋" w:eastAsia="华文仿宋" w:cs="仿宋"/>
          <w:color w:val="000000"/>
          <w:sz w:val="30"/>
          <w:szCs w:val="30"/>
          <w:highlight w:val="white"/>
        </w:rPr>
        <w:t>占</w:t>
      </w:r>
      <w:r>
        <w:rPr>
          <w:rFonts w:ascii="华文仿宋" w:hAnsi="华文仿宋" w:eastAsia="华文仿宋" w:cs="仿宋"/>
          <w:color w:val="000000"/>
          <w:sz w:val="30"/>
          <w:szCs w:val="30"/>
          <w:highlight w:val="white"/>
        </w:rPr>
        <w:t>0%</w:t>
      </w:r>
      <w:r>
        <w:rPr>
          <w:rFonts w:hint="eastAsia" w:ascii="华文仿宋" w:hAnsi="华文仿宋" w:eastAsia="华文仿宋" w:cs="仿宋"/>
          <w:color w:val="000000"/>
          <w:sz w:val="30"/>
          <w:szCs w:val="30"/>
          <w:highlight w:val="white"/>
        </w:rPr>
        <w:t>；商业服务业等（类）支出</w:t>
      </w:r>
      <w:r>
        <w:rPr>
          <w:rFonts w:ascii="华文仿宋" w:hAnsi="华文仿宋" w:eastAsia="华文仿宋" w:cs="仿宋"/>
          <w:color w:val="000000"/>
          <w:sz w:val="30"/>
          <w:szCs w:val="30"/>
          <w:highlight w:val="white"/>
        </w:rPr>
        <w:t>32.17</w:t>
      </w:r>
      <w:r>
        <w:rPr>
          <w:rFonts w:hint="eastAsia" w:ascii="华文仿宋" w:hAnsi="华文仿宋" w:eastAsia="华文仿宋" w:cs="仿宋"/>
          <w:color w:val="000000"/>
          <w:sz w:val="30"/>
          <w:szCs w:val="30"/>
          <w:highlight w:val="white"/>
        </w:rPr>
        <w:t>万元</w:t>
      </w:r>
      <w:r>
        <w:rPr>
          <w:rFonts w:ascii="华文仿宋" w:hAnsi="华文仿宋" w:eastAsia="华文仿宋" w:cs="仿宋"/>
          <w:color w:val="000000"/>
          <w:sz w:val="30"/>
          <w:szCs w:val="30"/>
          <w:highlight w:val="white"/>
        </w:rPr>
        <w:t>,</w:t>
      </w:r>
      <w:r>
        <w:rPr>
          <w:rFonts w:hint="eastAsia" w:ascii="华文仿宋" w:hAnsi="华文仿宋" w:eastAsia="华文仿宋" w:cs="仿宋"/>
          <w:color w:val="000000"/>
          <w:sz w:val="30"/>
          <w:szCs w:val="30"/>
          <w:highlight w:val="white"/>
        </w:rPr>
        <w:t>占</w:t>
      </w:r>
      <w:r>
        <w:rPr>
          <w:rFonts w:ascii="华文仿宋" w:hAnsi="华文仿宋" w:eastAsia="华文仿宋" w:cs="仿宋"/>
          <w:color w:val="000000"/>
          <w:sz w:val="30"/>
          <w:szCs w:val="30"/>
          <w:highlight w:val="white"/>
        </w:rPr>
        <w:t>0.5%</w:t>
      </w:r>
      <w:r>
        <w:rPr>
          <w:rFonts w:hint="eastAsia" w:ascii="华文仿宋" w:hAnsi="华文仿宋" w:eastAsia="华文仿宋" w:cs="仿宋"/>
          <w:color w:val="000000"/>
          <w:sz w:val="30"/>
          <w:szCs w:val="30"/>
          <w:highlight w:val="white"/>
        </w:rPr>
        <w:t>；金融（类）支出</w:t>
      </w:r>
      <w:r>
        <w:rPr>
          <w:rFonts w:ascii="华文仿宋" w:hAnsi="华文仿宋" w:eastAsia="华文仿宋" w:cs="仿宋"/>
          <w:color w:val="000000"/>
          <w:sz w:val="30"/>
          <w:szCs w:val="30"/>
          <w:highlight w:val="white"/>
        </w:rPr>
        <w:t>0</w:t>
      </w:r>
      <w:r>
        <w:rPr>
          <w:rFonts w:hint="eastAsia" w:ascii="华文仿宋" w:hAnsi="华文仿宋" w:eastAsia="华文仿宋" w:cs="仿宋"/>
          <w:color w:val="000000"/>
          <w:sz w:val="30"/>
          <w:szCs w:val="30"/>
          <w:highlight w:val="white"/>
        </w:rPr>
        <w:t>万元</w:t>
      </w:r>
      <w:r>
        <w:rPr>
          <w:rFonts w:ascii="华文仿宋" w:hAnsi="华文仿宋" w:eastAsia="华文仿宋" w:cs="仿宋"/>
          <w:color w:val="000000"/>
          <w:sz w:val="30"/>
          <w:szCs w:val="30"/>
          <w:highlight w:val="white"/>
        </w:rPr>
        <w:t>,</w:t>
      </w:r>
      <w:r>
        <w:rPr>
          <w:rFonts w:hint="eastAsia" w:ascii="华文仿宋" w:hAnsi="华文仿宋" w:eastAsia="华文仿宋" w:cs="仿宋"/>
          <w:color w:val="000000"/>
          <w:sz w:val="30"/>
          <w:szCs w:val="30"/>
          <w:highlight w:val="white"/>
        </w:rPr>
        <w:t>占</w:t>
      </w:r>
      <w:r>
        <w:rPr>
          <w:rFonts w:ascii="华文仿宋" w:hAnsi="华文仿宋" w:eastAsia="华文仿宋" w:cs="仿宋"/>
          <w:color w:val="000000"/>
          <w:sz w:val="30"/>
          <w:szCs w:val="30"/>
          <w:highlight w:val="white"/>
        </w:rPr>
        <w:t>0%</w:t>
      </w:r>
      <w:r>
        <w:rPr>
          <w:rFonts w:hint="eastAsia" w:ascii="华文仿宋" w:hAnsi="华文仿宋" w:eastAsia="华文仿宋" w:cs="仿宋"/>
          <w:color w:val="000000"/>
          <w:sz w:val="30"/>
          <w:szCs w:val="30"/>
          <w:highlight w:val="white"/>
        </w:rPr>
        <w:t>；援助其他地区（类）支出</w:t>
      </w:r>
      <w:r>
        <w:rPr>
          <w:rFonts w:ascii="华文仿宋" w:hAnsi="华文仿宋" w:eastAsia="华文仿宋" w:cs="仿宋"/>
          <w:color w:val="000000"/>
          <w:sz w:val="30"/>
          <w:szCs w:val="30"/>
          <w:highlight w:val="white"/>
        </w:rPr>
        <w:t>0</w:t>
      </w:r>
      <w:r>
        <w:rPr>
          <w:rFonts w:hint="eastAsia" w:ascii="华文仿宋" w:hAnsi="华文仿宋" w:eastAsia="华文仿宋" w:cs="仿宋"/>
          <w:color w:val="000000"/>
          <w:sz w:val="30"/>
          <w:szCs w:val="30"/>
          <w:highlight w:val="white"/>
        </w:rPr>
        <w:t>万元</w:t>
      </w:r>
      <w:r>
        <w:rPr>
          <w:rFonts w:ascii="华文仿宋" w:hAnsi="华文仿宋" w:eastAsia="华文仿宋" w:cs="仿宋"/>
          <w:color w:val="000000"/>
          <w:sz w:val="30"/>
          <w:szCs w:val="30"/>
          <w:highlight w:val="white"/>
        </w:rPr>
        <w:t>,</w:t>
      </w:r>
      <w:r>
        <w:rPr>
          <w:rFonts w:hint="eastAsia" w:ascii="华文仿宋" w:hAnsi="华文仿宋" w:eastAsia="华文仿宋" w:cs="仿宋"/>
          <w:color w:val="000000"/>
          <w:sz w:val="30"/>
          <w:szCs w:val="30"/>
          <w:highlight w:val="white"/>
        </w:rPr>
        <w:t>占</w:t>
      </w:r>
      <w:r>
        <w:rPr>
          <w:rFonts w:ascii="华文仿宋" w:hAnsi="华文仿宋" w:eastAsia="华文仿宋" w:cs="仿宋"/>
          <w:color w:val="000000"/>
          <w:sz w:val="30"/>
          <w:szCs w:val="30"/>
          <w:highlight w:val="white"/>
        </w:rPr>
        <w:t>0%</w:t>
      </w:r>
      <w:r>
        <w:rPr>
          <w:rFonts w:hint="eastAsia" w:ascii="华文仿宋" w:hAnsi="华文仿宋" w:eastAsia="华文仿宋" w:cs="仿宋"/>
          <w:color w:val="000000"/>
          <w:sz w:val="30"/>
          <w:szCs w:val="30"/>
          <w:highlight w:val="white"/>
        </w:rPr>
        <w:t>；自然资源海洋气象等（类）支出</w:t>
      </w:r>
      <w:r>
        <w:rPr>
          <w:rFonts w:ascii="华文仿宋" w:hAnsi="华文仿宋" w:eastAsia="华文仿宋" w:cs="仿宋"/>
          <w:color w:val="000000"/>
          <w:sz w:val="30"/>
          <w:szCs w:val="30"/>
          <w:highlight w:val="white"/>
        </w:rPr>
        <w:t>0</w:t>
      </w:r>
      <w:r>
        <w:rPr>
          <w:rFonts w:hint="eastAsia" w:ascii="华文仿宋" w:hAnsi="华文仿宋" w:eastAsia="华文仿宋" w:cs="仿宋"/>
          <w:color w:val="000000"/>
          <w:sz w:val="30"/>
          <w:szCs w:val="30"/>
          <w:highlight w:val="white"/>
        </w:rPr>
        <w:t>万元</w:t>
      </w:r>
      <w:r>
        <w:rPr>
          <w:rFonts w:ascii="华文仿宋" w:hAnsi="华文仿宋" w:eastAsia="华文仿宋" w:cs="仿宋"/>
          <w:color w:val="000000"/>
          <w:sz w:val="30"/>
          <w:szCs w:val="30"/>
          <w:highlight w:val="white"/>
        </w:rPr>
        <w:t>,</w:t>
      </w:r>
      <w:r>
        <w:rPr>
          <w:rFonts w:hint="eastAsia" w:ascii="华文仿宋" w:hAnsi="华文仿宋" w:eastAsia="华文仿宋" w:cs="仿宋"/>
          <w:color w:val="000000"/>
          <w:sz w:val="30"/>
          <w:szCs w:val="30"/>
          <w:highlight w:val="white"/>
        </w:rPr>
        <w:t>占</w:t>
      </w:r>
      <w:r>
        <w:rPr>
          <w:rFonts w:ascii="华文仿宋" w:hAnsi="华文仿宋" w:eastAsia="华文仿宋" w:cs="仿宋"/>
          <w:color w:val="000000"/>
          <w:sz w:val="30"/>
          <w:szCs w:val="30"/>
          <w:highlight w:val="white"/>
        </w:rPr>
        <w:t>0%</w:t>
      </w:r>
      <w:r>
        <w:rPr>
          <w:rFonts w:hint="eastAsia" w:ascii="华文仿宋" w:hAnsi="华文仿宋" w:eastAsia="华文仿宋" w:cs="仿宋"/>
          <w:color w:val="000000"/>
          <w:sz w:val="30"/>
          <w:szCs w:val="30"/>
          <w:highlight w:val="white"/>
        </w:rPr>
        <w:t>；住房保障（类）支出</w:t>
      </w:r>
      <w:r>
        <w:rPr>
          <w:rFonts w:ascii="华文仿宋" w:hAnsi="华文仿宋" w:eastAsia="华文仿宋" w:cs="仿宋"/>
          <w:color w:val="000000"/>
          <w:sz w:val="30"/>
          <w:szCs w:val="30"/>
          <w:highlight w:val="white"/>
        </w:rPr>
        <w:t>294.27</w:t>
      </w:r>
      <w:r>
        <w:rPr>
          <w:rFonts w:hint="eastAsia" w:ascii="华文仿宋" w:hAnsi="华文仿宋" w:eastAsia="华文仿宋" w:cs="仿宋"/>
          <w:color w:val="000000"/>
          <w:sz w:val="30"/>
          <w:szCs w:val="30"/>
          <w:highlight w:val="white"/>
        </w:rPr>
        <w:t>万元</w:t>
      </w:r>
      <w:r>
        <w:rPr>
          <w:rFonts w:ascii="华文仿宋" w:hAnsi="华文仿宋" w:eastAsia="华文仿宋" w:cs="仿宋"/>
          <w:color w:val="000000"/>
          <w:sz w:val="30"/>
          <w:szCs w:val="30"/>
          <w:highlight w:val="white"/>
        </w:rPr>
        <w:t>,</w:t>
      </w:r>
      <w:r>
        <w:rPr>
          <w:rFonts w:hint="eastAsia" w:ascii="华文仿宋" w:hAnsi="华文仿宋" w:eastAsia="华文仿宋" w:cs="仿宋"/>
          <w:color w:val="000000"/>
          <w:sz w:val="30"/>
          <w:szCs w:val="30"/>
          <w:highlight w:val="white"/>
        </w:rPr>
        <w:t>占</w:t>
      </w:r>
      <w:r>
        <w:rPr>
          <w:rFonts w:ascii="华文仿宋" w:hAnsi="华文仿宋" w:eastAsia="华文仿宋" w:cs="仿宋"/>
          <w:color w:val="000000"/>
          <w:sz w:val="30"/>
          <w:szCs w:val="30"/>
          <w:highlight w:val="white"/>
        </w:rPr>
        <w:t>4.55%</w:t>
      </w:r>
      <w:r>
        <w:rPr>
          <w:rFonts w:hint="eastAsia" w:ascii="华文仿宋" w:hAnsi="华文仿宋" w:eastAsia="华文仿宋" w:cs="仿宋"/>
          <w:color w:val="000000"/>
          <w:sz w:val="30"/>
          <w:szCs w:val="30"/>
          <w:highlight w:val="white"/>
        </w:rPr>
        <w:t>；粮油物资储备（类）支出</w:t>
      </w:r>
      <w:r>
        <w:rPr>
          <w:rFonts w:ascii="华文仿宋" w:hAnsi="华文仿宋" w:eastAsia="华文仿宋" w:cs="仿宋"/>
          <w:color w:val="000000"/>
          <w:sz w:val="30"/>
          <w:szCs w:val="30"/>
          <w:highlight w:val="white"/>
        </w:rPr>
        <w:t>0</w:t>
      </w:r>
      <w:r>
        <w:rPr>
          <w:rFonts w:hint="eastAsia" w:ascii="华文仿宋" w:hAnsi="华文仿宋" w:eastAsia="华文仿宋" w:cs="仿宋"/>
          <w:color w:val="000000"/>
          <w:sz w:val="30"/>
          <w:szCs w:val="30"/>
          <w:highlight w:val="white"/>
        </w:rPr>
        <w:t>万元</w:t>
      </w:r>
      <w:r>
        <w:rPr>
          <w:rFonts w:ascii="华文仿宋" w:hAnsi="华文仿宋" w:eastAsia="华文仿宋" w:cs="仿宋"/>
          <w:color w:val="000000"/>
          <w:sz w:val="30"/>
          <w:szCs w:val="30"/>
          <w:highlight w:val="white"/>
        </w:rPr>
        <w:t>,</w:t>
      </w:r>
      <w:r>
        <w:rPr>
          <w:rFonts w:hint="eastAsia" w:ascii="华文仿宋" w:hAnsi="华文仿宋" w:eastAsia="华文仿宋" w:cs="仿宋"/>
          <w:color w:val="000000"/>
          <w:sz w:val="30"/>
          <w:szCs w:val="30"/>
          <w:highlight w:val="white"/>
        </w:rPr>
        <w:t>占</w:t>
      </w:r>
      <w:r>
        <w:rPr>
          <w:rFonts w:ascii="华文仿宋" w:hAnsi="华文仿宋" w:eastAsia="华文仿宋" w:cs="仿宋"/>
          <w:color w:val="000000"/>
          <w:sz w:val="30"/>
          <w:szCs w:val="30"/>
          <w:highlight w:val="white"/>
        </w:rPr>
        <w:t>0%</w:t>
      </w:r>
      <w:r>
        <w:rPr>
          <w:rFonts w:hint="eastAsia" w:ascii="华文仿宋" w:hAnsi="华文仿宋" w:eastAsia="华文仿宋" w:cs="仿宋"/>
          <w:color w:val="000000"/>
          <w:sz w:val="30"/>
          <w:szCs w:val="30"/>
          <w:highlight w:val="white"/>
        </w:rPr>
        <w:t>；灾害防治及应急管理（类）支出</w:t>
      </w:r>
      <w:r>
        <w:rPr>
          <w:rFonts w:ascii="华文仿宋" w:hAnsi="华文仿宋" w:eastAsia="华文仿宋" w:cs="仿宋"/>
          <w:color w:val="000000"/>
          <w:sz w:val="30"/>
          <w:szCs w:val="30"/>
          <w:highlight w:val="white"/>
        </w:rPr>
        <w:t>0</w:t>
      </w:r>
      <w:r>
        <w:rPr>
          <w:rFonts w:hint="eastAsia" w:ascii="华文仿宋" w:hAnsi="华文仿宋" w:eastAsia="华文仿宋" w:cs="仿宋"/>
          <w:color w:val="000000"/>
          <w:sz w:val="30"/>
          <w:szCs w:val="30"/>
          <w:highlight w:val="white"/>
        </w:rPr>
        <w:t>万元</w:t>
      </w:r>
      <w:r>
        <w:rPr>
          <w:rFonts w:ascii="华文仿宋" w:hAnsi="华文仿宋" w:eastAsia="华文仿宋" w:cs="仿宋"/>
          <w:color w:val="000000"/>
          <w:sz w:val="30"/>
          <w:szCs w:val="30"/>
          <w:highlight w:val="white"/>
        </w:rPr>
        <w:t>,</w:t>
      </w:r>
      <w:r>
        <w:rPr>
          <w:rFonts w:hint="eastAsia" w:ascii="华文仿宋" w:hAnsi="华文仿宋" w:eastAsia="华文仿宋" w:cs="仿宋"/>
          <w:color w:val="000000"/>
          <w:sz w:val="30"/>
          <w:szCs w:val="30"/>
          <w:highlight w:val="white"/>
        </w:rPr>
        <w:t>占</w:t>
      </w:r>
      <w:r>
        <w:rPr>
          <w:rFonts w:ascii="华文仿宋" w:hAnsi="华文仿宋" w:eastAsia="华文仿宋" w:cs="仿宋"/>
          <w:color w:val="000000"/>
          <w:sz w:val="30"/>
          <w:szCs w:val="30"/>
          <w:highlight w:val="white"/>
        </w:rPr>
        <w:t>0%</w:t>
      </w:r>
      <w:r>
        <w:rPr>
          <w:rFonts w:hint="eastAsia" w:ascii="华文仿宋" w:hAnsi="华文仿宋" w:eastAsia="华文仿宋" w:cs="仿宋"/>
          <w:color w:val="000000"/>
          <w:sz w:val="30"/>
          <w:szCs w:val="30"/>
          <w:highlight w:val="white"/>
        </w:rPr>
        <w:t>；其他（类）支出</w:t>
      </w:r>
      <w:r>
        <w:rPr>
          <w:rFonts w:ascii="华文仿宋" w:hAnsi="华文仿宋" w:eastAsia="华文仿宋" w:cs="仿宋"/>
          <w:color w:val="000000"/>
          <w:sz w:val="30"/>
          <w:szCs w:val="30"/>
          <w:highlight w:val="white"/>
        </w:rPr>
        <w:t>0</w:t>
      </w:r>
      <w:r>
        <w:rPr>
          <w:rFonts w:hint="eastAsia" w:ascii="华文仿宋" w:hAnsi="华文仿宋" w:eastAsia="华文仿宋" w:cs="仿宋"/>
          <w:color w:val="000000"/>
          <w:sz w:val="30"/>
          <w:szCs w:val="30"/>
          <w:highlight w:val="white"/>
        </w:rPr>
        <w:t>万元</w:t>
      </w:r>
      <w:r>
        <w:rPr>
          <w:rFonts w:ascii="华文仿宋" w:hAnsi="华文仿宋" w:eastAsia="华文仿宋" w:cs="仿宋"/>
          <w:color w:val="000000"/>
          <w:sz w:val="30"/>
          <w:szCs w:val="30"/>
          <w:highlight w:val="white"/>
        </w:rPr>
        <w:t>,</w:t>
      </w:r>
      <w:r>
        <w:rPr>
          <w:rFonts w:hint="eastAsia" w:ascii="华文仿宋" w:hAnsi="华文仿宋" w:eastAsia="华文仿宋" w:cs="仿宋"/>
          <w:color w:val="000000"/>
          <w:sz w:val="30"/>
          <w:szCs w:val="30"/>
          <w:highlight w:val="white"/>
        </w:rPr>
        <w:t>占</w:t>
      </w:r>
      <w:r>
        <w:rPr>
          <w:rFonts w:ascii="华文仿宋" w:hAnsi="华文仿宋" w:eastAsia="华文仿宋" w:cs="仿宋"/>
          <w:color w:val="000000"/>
          <w:sz w:val="30"/>
          <w:szCs w:val="30"/>
          <w:highlight w:val="white"/>
        </w:rPr>
        <w:t>0%</w:t>
      </w:r>
      <w:r>
        <w:rPr>
          <w:rFonts w:hint="eastAsia" w:ascii="华文仿宋" w:hAnsi="华文仿宋" w:eastAsia="华文仿宋" w:cs="仿宋"/>
          <w:color w:val="000000"/>
          <w:sz w:val="30"/>
          <w:szCs w:val="30"/>
          <w:highlight w:val="white"/>
        </w:rPr>
        <w:t>；债务还本（类）支出</w:t>
      </w:r>
      <w:r>
        <w:rPr>
          <w:rFonts w:ascii="华文仿宋" w:hAnsi="华文仿宋" w:eastAsia="华文仿宋" w:cs="仿宋"/>
          <w:color w:val="000000"/>
          <w:sz w:val="30"/>
          <w:szCs w:val="30"/>
          <w:highlight w:val="white"/>
        </w:rPr>
        <w:t>0</w:t>
      </w:r>
      <w:r>
        <w:rPr>
          <w:rFonts w:hint="eastAsia" w:ascii="华文仿宋" w:hAnsi="华文仿宋" w:eastAsia="华文仿宋" w:cs="仿宋"/>
          <w:color w:val="000000"/>
          <w:sz w:val="30"/>
          <w:szCs w:val="30"/>
          <w:highlight w:val="white"/>
        </w:rPr>
        <w:t>万元</w:t>
      </w:r>
      <w:r>
        <w:rPr>
          <w:rFonts w:ascii="华文仿宋" w:hAnsi="华文仿宋" w:eastAsia="华文仿宋" w:cs="仿宋"/>
          <w:color w:val="000000"/>
          <w:sz w:val="30"/>
          <w:szCs w:val="30"/>
          <w:highlight w:val="white"/>
        </w:rPr>
        <w:t>,</w:t>
      </w:r>
      <w:r>
        <w:rPr>
          <w:rFonts w:hint="eastAsia" w:ascii="华文仿宋" w:hAnsi="华文仿宋" w:eastAsia="华文仿宋" w:cs="仿宋"/>
          <w:color w:val="000000"/>
          <w:sz w:val="30"/>
          <w:szCs w:val="30"/>
          <w:highlight w:val="white"/>
        </w:rPr>
        <w:t>占</w:t>
      </w:r>
      <w:r>
        <w:rPr>
          <w:rFonts w:ascii="华文仿宋" w:hAnsi="华文仿宋" w:eastAsia="华文仿宋" w:cs="仿宋"/>
          <w:color w:val="000000"/>
          <w:sz w:val="30"/>
          <w:szCs w:val="30"/>
          <w:highlight w:val="white"/>
        </w:rPr>
        <w:t>0%</w:t>
      </w:r>
      <w:r>
        <w:rPr>
          <w:rFonts w:hint="eastAsia" w:ascii="华文仿宋" w:hAnsi="华文仿宋" w:eastAsia="华文仿宋" w:cs="仿宋"/>
          <w:color w:val="000000"/>
          <w:sz w:val="30"/>
          <w:szCs w:val="30"/>
          <w:highlight w:val="white"/>
        </w:rPr>
        <w:t>；债务付息（类）支出</w:t>
      </w:r>
      <w:r>
        <w:rPr>
          <w:rFonts w:ascii="华文仿宋" w:hAnsi="华文仿宋" w:eastAsia="华文仿宋" w:cs="仿宋"/>
          <w:color w:val="000000"/>
          <w:sz w:val="30"/>
          <w:szCs w:val="30"/>
          <w:highlight w:val="white"/>
        </w:rPr>
        <w:t>0</w:t>
      </w:r>
      <w:r>
        <w:rPr>
          <w:rFonts w:hint="eastAsia" w:ascii="华文仿宋" w:hAnsi="华文仿宋" w:eastAsia="华文仿宋" w:cs="仿宋"/>
          <w:color w:val="000000"/>
          <w:sz w:val="30"/>
          <w:szCs w:val="30"/>
          <w:highlight w:val="white"/>
        </w:rPr>
        <w:t>万元</w:t>
      </w:r>
      <w:r>
        <w:rPr>
          <w:rFonts w:ascii="华文仿宋" w:hAnsi="华文仿宋" w:eastAsia="华文仿宋" w:cs="仿宋"/>
          <w:color w:val="000000"/>
          <w:sz w:val="30"/>
          <w:szCs w:val="30"/>
          <w:highlight w:val="white"/>
        </w:rPr>
        <w:t>,</w:t>
      </w:r>
      <w:r>
        <w:rPr>
          <w:rFonts w:hint="eastAsia" w:ascii="华文仿宋" w:hAnsi="华文仿宋" w:eastAsia="华文仿宋" w:cs="仿宋"/>
          <w:color w:val="000000"/>
          <w:sz w:val="30"/>
          <w:szCs w:val="30"/>
          <w:highlight w:val="white"/>
        </w:rPr>
        <w:t>占</w:t>
      </w:r>
      <w:r>
        <w:rPr>
          <w:rFonts w:ascii="华文仿宋" w:hAnsi="华文仿宋" w:eastAsia="华文仿宋" w:cs="仿宋"/>
          <w:color w:val="000000"/>
          <w:sz w:val="30"/>
          <w:szCs w:val="30"/>
          <w:highlight w:val="white"/>
        </w:rPr>
        <w:t>0%</w:t>
      </w:r>
      <w:r>
        <w:rPr>
          <w:rFonts w:hint="eastAsia" w:ascii="华文仿宋" w:hAnsi="华文仿宋" w:eastAsia="华文仿宋" w:cs="仿宋"/>
          <w:color w:val="000000"/>
          <w:sz w:val="30"/>
          <w:szCs w:val="30"/>
          <w:highlight w:val="white"/>
        </w:rPr>
        <w:t>。</w:t>
      </w:r>
    </w:p>
    <w:p>
      <w:pPr>
        <w:autoSpaceDE w:val="0"/>
        <w:autoSpaceDN w:val="0"/>
        <w:adjustRightInd w:val="0"/>
        <w:spacing w:line="324" w:lineRule="auto"/>
        <w:ind w:firstLine="601" w:firstLineChars="200"/>
        <w:rPr>
          <w:rFonts w:ascii="华文仿宋" w:hAnsi="华文仿宋" w:eastAsia="华文仿宋" w:cs="仿宋"/>
          <w:color w:val="000000"/>
          <w:sz w:val="30"/>
          <w:szCs w:val="30"/>
          <w:highlight w:val="white"/>
        </w:rPr>
      </w:pPr>
      <w:r>
        <w:rPr>
          <w:rFonts w:ascii="华文仿宋" w:hAnsi="华文仿宋" w:eastAsia="华文仿宋" w:cs="仿宋"/>
          <w:b/>
          <w:bCs/>
          <w:color w:val="000000"/>
          <w:sz w:val="30"/>
          <w:szCs w:val="30"/>
          <w:highlight w:val="white"/>
        </w:rPr>
        <w:t>3.</w:t>
      </w:r>
      <w:r>
        <w:rPr>
          <w:rFonts w:hint="eastAsia" w:ascii="华文仿宋" w:hAnsi="华文仿宋" w:eastAsia="华文仿宋" w:cs="仿宋"/>
          <w:b/>
          <w:bCs/>
          <w:color w:val="000000"/>
          <w:sz w:val="30"/>
          <w:szCs w:val="30"/>
          <w:highlight w:val="white"/>
        </w:rPr>
        <w:t>一般公共预算财政拨款支出决算具体情况。</w:t>
      </w:r>
    </w:p>
    <w:p>
      <w:pPr>
        <w:autoSpaceDE w:val="0"/>
        <w:autoSpaceDN w:val="0"/>
        <w:adjustRightInd w:val="0"/>
        <w:spacing w:line="324" w:lineRule="auto"/>
        <w:ind w:firstLine="600" w:firstLineChars="200"/>
        <w:rPr>
          <w:rFonts w:ascii="华文仿宋" w:hAnsi="华文仿宋" w:eastAsia="华文仿宋"/>
        </w:rPr>
      </w:pPr>
      <w:r>
        <w:rPr>
          <w:rFonts w:ascii="华文仿宋" w:hAnsi="华文仿宋" w:eastAsia="华文仿宋" w:cs="仿宋"/>
          <w:color w:val="000000"/>
          <w:sz w:val="30"/>
          <w:szCs w:val="30"/>
          <w:highlight w:val="white"/>
        </w:rPr>
        <w:t>2020</w:t>
      </w:r>
      <w:r>
        <w:rPr>
          <w:rFonts w:hint="eastAsia" w:ascii="华文仿宋" w:hAnsi="华文仿宋" w:eastAsia="华文仿宋" w:cs="仿宋"/>
          <w:sz w:val="30"/>
          <w:szCs w:val="30"/>
          <w:highlight w:val="white"/>
        </w:rPr>
        <w:t>年度</w:t>
      </w:r>
      <w:r>
        <w:rPr>
          <w:rFonts w:hint="eastAsia" w:ascii="华文仿宋" w:hAnsi="华文仿宋" w:eastAsia="华文仿宋" w:cs="仿宋"/>
          <w:color w:val="000000"/>
          <w:sz w:val="30"/>
          <w:szCs w:val="30"/>
          <w:highlight w:val="white"/>
        </w:rPr>
        <w:t>一般公共预算</w:t>
      </w:r>
      <w:r>
        <w:rPr>
          <w:rFonts w:hint="eastAsia" w:ascii="华文仿宋" w:hAnsi="华文仿宋" w:eastAsia="华文仿宋" w:cs="仿宋"/>
          <w:sz w:val="30"/>
          <w:szCs w:val="30"/>
          <w:highlight w:val="white"/>
        </w:rPr>
        <w:t>财政拨款支出年初预算为</w:t>
      </w:r>
      <w:r>
        <w:rPr>
          <w:rFonts w:hint="eastAsia" w:ascii="华文仿宋" w:hAnsi="华文仿宋" w:eastAsia="华文仿宋" w:cs="仿宋"/>
          <w:color w:val="000000"/>
          <w:sz w:val="30"/>
          <w:szCs w:val="30"/>
          <w:highlight w:val="white"/>
        </w:rPr>
        <w:t>3786.14</w:t>
      </w:r>
      <w:r>
        <w:rPr>
          <w:rFonts w:hint="eastAsia" w:ascii="华文仿宋" w:hAnsi="华文仿宋" w:eastAsia="华文仿宋" w:cs="仿宋"/>
          <w:sz w:val="30"/>
          <w:szCs w:val="30"/>
          <w:highlight w:val="white"/>
        </w:rPr>
        <w:t>万元，支出决算为</w:t>
      </w:r>
      <w:r>
        <w:rPr>
          <w:rFonts w:ascii="华文仿宋" w:hAnsi="华文仿宋" w:eastAsia="华文仿宋" w:cs="仿宋"/>
          <w:color w:val="000000"/>
          <w:sz w:val="30"/>
          <w:szCs w:val="30"/>
          <w:highlight w:val="white"/>
        </w:rPr>
        <w:t>6,474.58</w:t>
      </w:r>
      <w:r>
        <w:rPr>
          <w:rFonts w:hint="eastAsia" w:ascii="华文仿宋" w:hAnsi="华文仿宋" w:eastAsia="华文仿宋" w:cs="仿宋"/>
          <w:color w:val="000000"/>
          <w:sz w:val="30"/>
          <w:szCs w:val="30"/>
          <w:highlight w:val="white"/>
        </w:rPr>
        <w:t>万元</w:t>
      </w:r>
      <w:r>
        <w:rPr>
          <w:rFonts w:ascii="华文仿宋" w:hAnsi="华文仿宋" w:eastAsia="华文仿宋" w:cs="仿宋"/>
          <w:sz w:val="30"/>
          <w:szCs w:val="30"/>
          <w:highlight w:val="white"/>
        </w:rPr>
        <w:t>,</w:t>
      </w:r>
      <w:r>
        <w:rPr>
          <w:rFonts w:hint="eastAsia" w:ascii="华文仿宋" w:hAnsi="华文仿宋" w:eastAsia="华文仿宋" w:cs="仿宋"/>
          <w:sz w:val="30"/>
          <w:szCs w:val="30"/>
          <w:highlight w:val="white"/>
        </w:rPr>
        <w:t>完成年初预算的</w:t>
      </w:r>
      <w:r>
        <w:rPr>
          <w:rFonts w:hint="eastAsia" w:ascii="华文仿宋" w:hAnsi="华文仿宋" w:eastAsia="华文仿宋" w:cs="仿宋"/>
          <w:color w:val="000000"/>
          <w:sz w:val="30"/>
          <w:szCs w:val="30"/>
          <w:highlight w:val="white"/>
        </w:rPr>
        <w:t>171.01</w:t>
      </w:r>
      <w:r>
        <w:rPr>
          <w:rFonts w:ascii="华文仿宋" w:hAnsi="华文仿宋" w:eastAsia="华文仿宋" w:cs="仿宋"/>
          <w:color w:val="000000"/>
          <w:sz w:val="30"/>
          <w:szCs w:val="30"/>
          <w:highlight w:val="white"/>
        </w:rPr>
        <w:t>%</w:t>
      </w:r>
      <w:r>
        <w:rPr>
          <w:rFonts w:hint="eastAsia" w:ascii="华文仿宋" w:hAnsi="华文仿宋" w:eastAsia="华文仿宋" w:cs="仿宋"/>
          <w:sz w:val="30"/>
          <w:szCs w:val="30"/>
          <w:highlight w:val="white"/>
        </w:rPr>
        <w:t>，主要原因是</w:t>
      </w:r>
      <w:r>
        <w:rPr>
          <w:rFonts w:hint="eastAsia" w:ascii="华文仿宋" w:hAnsi="华文仿宋" w:eastAsia="华文仿宋"/>
          <w:color w:val="000000"/>
          <w:sz w:val="30"/>
          <w:szCs w:val="30"/>
          <w:shd w:val="clear" w:color="auto" w:fill="FFFFFF"/>
        </w:rPr>
        <w:t>受单位工作人员工资正常晋升、综合奖发放，2020年度新进公务员、事业人员工资、奖金支出；及根据工作需要追加了</w:t>
      </w:r>
      <w:r>
        <w:rPr>
          <w:rFonts w:hint="eastAsia" w:ascii="华文仿宋" w:hAnsi="华文仿宋" w:eastAsia="华文仿宋" w:cs="仿宋"/>
          <w:color w:val="000000"/>
          <w:sz w:val="30"/>
          <w:szCs w:val="30"/>
        </w:rPr>
        <w:t>市场监督执法经费、惠企利民两直补助、创建补助、宣传经费、金属制品检测中心设备购置</w:t>
      </w:r>
      <w:r>
        <w:rPr>
          <w:rFonts w:hint="eastAsia" w:ascii="华文仿宋" w:hAnsi="华文仿宋" w:eastAsia="华文仿宋"/>
        </w:rPr>
        <w:t>、</w:t>
      </w:r>
      <w:r>
        <w:rPr>
          <w:rFonts w:hint="eastAsia" w:ascii="华文仿宋" w:hAnsi="华文仿宋" w:eastAsia="华文仿宋"/>
          <w:bCs/>
          <w:color w:val="000000"/>
          <w:sz w:val="30"/>
          <w:szCs w:val="30"/>
        </w:rPr>
        <w:t>全县市场整体规划专项设计</w:t>
      </w:r>
      <w:r>
        <w:rPr>
          <w:rFonts w:hint="eastAsia" w:ascii="华文仿宋" w:hAnsi="华文仿宋" w:eastAsia="华文仿宋"/>
        </w:rPr>
        <w:t>、</w:t>
      </w:r>
      <w:r>
        <w:rPr>
          <w:rFonts w:hint="eastAsia" w:ascii="华文仿宋" w:hAnsi="华文仿宋" w:eastAsia="华文仿宋"/>
          <w:bCs/>
          <w:color w:val="000000"/>
          <w:sz w:val="30"/>
          <w:szCs w:val="30"/>
        </w:rPr>
        <w:t>2019年度总部经济企业政策兑现奖励、</w:t>
      </w:r>
      <w:r>
        <w:rPr>
          <w:rFonts w:hint="eastAsia" w:ascii="华文仿宋" w:hAnsi="华文仿宋" w:eastAsia="华文仿宋" w:cs="仿宋"/>
          <w:color w:val="000000"/>
          <w:sz w:val="30"/>
          <w:szCs w:val="30"/>
        </w:rPr>
        <w:t>高层次人才津贴等经费；另外，上年结转党建经费、市场监督管理专项支出后计入决算数</w:t>
      </w:r>
      <w:r>
        <w:rPr>
          <w:rFonts w:hint="eastAsia" w:ascii="华文仿宋" w:hAnsi="华文仿宋" w:eastAsia="华文仿宋" w:cs="仿宋"/>
          <w:sz w:val="30"/>
          <w:szCs w:val="30"/>
          <w:highlight w:val="white"/>
        </w:rPr>
        <w:t>。</w:t>
      </w:r>
      <w:r>
        <w:rPr>
          <w:rFonts w:hint="eastAsia" w:ascii="华文仿宋" w:hAnsi="华文仿宋" w:eastAsia="华文仿宋" w:cs="仿宋"/>
          <w:color w:val="000000"/>
          <w:sz w:val="30"/>
          <w:szCs w:val="30"/>
          <w:highlight w:val="white"/>
        </w:rPr>
        <w:t>其中：</w:t>
      </w:r>
    </w:p>
    <w:p>
      <w:pPr>
        <w:autoSpaceDE w:val="0"/>
        <w:autoSpaceDN w:val="0"/>
        <w:adjustRightInd w:val="0"/>
        <w:spacing w:line="324" w:lineRule="auto"/>
        <w:ind w:firstLine="600" w:firstLineChars="200"/>
        <w:rPr>
          <w:rFonts w:ascii="华文仿宋" w:hAnsi="华文仿宋" w:eastAsia="华文仿宋" w:cs="仿宋"/>
          <w:color w:val="000000"/>
          <w:sz w:val="30"/>
          <w:szCs w:val="30"/>
          <w:highlight w:val="white"/>
        </w:rPr>
      </w:pPr>
      <w:r>
        <w:rPr>
          <w:rFonts w:hint="eastAsia" w:ascii="华文仿宋" w:hAnsi="华文仿宋" w:eastAsia="华文仿宋" w:cs="仿宋"/>
          <w:color w:val="000000"/>
          <w:sz w:val="30"/>
          <w:szCs w:val="30"/>
        </w:rPr>
        <w:t>一般公共服务支出</w:t>
      </w:r>
      <w:r>
        <w:rPr>
          <w:rFonts w:hint="eastAsia" w:ascii="华文仿宋" w:hAnsi="华文仿宋" w:eastAsia="华文仿宋" w:cs="仿宋"/>
          <w:color w:val="000000"/>
          <w:sz w:val="30"/>
          <w:szCs w:val="30"/>
          <w:highlight w:val="white"/>
        </w:rPr>
        <w:t>（类）</w:t>
      </w:r>
      <w:r>
        <w:rPr>
          <w:rFonts w:hint="eastAsia" w:ascii="华文仿宋" w:hAnsi="华文仿宋" w:eastAsia="华文仿宋" w:cs="仿宋"/>
          <w:color w:val="000000"/>
          <w:sz w:val="30"/>
          <w:szCs w:val="30"/>
        </w:rPr>
        <w:t>人力资源事务</w:t>
      </w:r>
      <w:r>
        <w:rPr>
          <w:rFonts w:hint="eastAsia" w:ascii="华文仿宋" w:hAnsi="华文仿宋" w:eastAsia="华文仿宋" w:cs="仿宋"/>
          <w:color w:val="000000"/>
          <w:sz w:val="30"/>
          <w:szCs w:val="30"/>
          <w:highlight w:val="white"/>
        </w:rPr>
        <w:t>（款）</w:t>
      </w:r>
      <w:r>
        <w:rPr>
          <w:rFonts w:hint="eastAsia" w:ascii="华文仿宋" w:hAnsi="华文仿宋" w:eastAsia="华文仿宋" w:cs="仿宋"/>
          <w:color w:val="000000"/>
          <w:sz w:val="30"/>
          <w:szCs w:val="30"/>
        </w:rPr>
        <w:t>其他人力资源事务支出</w:t>
      </w:r>
      <w:r>
        <w:rPr>
          <w:rFonts w:hint="eastAsia" w:ascii="华文仿宋" w:hAnsi="华文仿宋" w:eastAsia="华文仿宋" w:cs="仿宋"/>
          <w:color w:val="000000"/>
          <w:sz w:val="30"/>
          <w:szCs w:val="30"/>
          <w:highlight w:val="white"/>
        </w:rPr>
        <w:t>（项）。年初预算为0万元，支出决算为1.8万元，决算数大于预算数的主要原因是高层次人才津贴未编入预算，年中指标下达后支付。</w:t>
      </w:r>
    </w:p>
    <w:p>
      <w:pPr>
        <w:autoSpaceDE w:val="0"/>
        <w:autoSpaceDN w:val="0"/>
        <w:adjustRightInd w:val="0"/>
        <w:spacing w:line="324" w:lineRule="auto"/>
        <w:ind w:firstLine="600" w:firstLineChars="200"/>
        <w:rPr>
          <w:rFonts w:ascii="华文仿宋" w:hAnsi="华文仿宋" w:eastAsia="华文仿宋" w:cs="仿宋"/>
          <w:color w:val="000000"/>
          <w:sz w:val="30"/>
          <w:szCs w:val="30"/>
          <w:highlight w:val="white"/>
        </w:rPr>
      </w:pPr>
      <w:r>
        <w:rPr>
          <w:rFonts w:hint="eastAsia" w:ascii="华文仿宋" w:hAnsi="华文仿宋" w:eastAsia="华文仿宋" w:cs="仿宋"/>
          <w:color w:val="000000"/>
          <w:sz w:val="30"/>
          <w:szCs w:val="30"/>
        </w:rPr>
        <w:t>一般公共服务支出</w:t>
      </w:r>
      <w:r>
        <w:rPr>
          <w:rFonts w:hint="eastAsia" w:ascii="华文仿宋" w:hAnsi="华文仿宋" w:eastAsia="华文仿宋" w:cs="仿宋"/>
          <w:color w:val="000000"/>
          <w:sz w:val="30"/>
          <w:szCs w:val="30"/>
          <w:highlight w:val="white"/>
        </w:rPr>
        <w:t>（类）</w:t>
      </w:r>
      <w:r>
        <w:rPr>
          <w:rFonts w:hint="eastAsia" w:ascii="华文仿宋" w:hAnsi="华文仿宋" w:eastAsia="华文仿宋" w:cs="仿宋"/>
          <w:color w:val="000000"/>
          <w:sz w:val="30"/>
          <w:szCs w:val="30"/>
        </w:rPr>
        <w:t>组织事务</w:t>
      </w:r>
      <w:r>
        <w:rPr>
          <w:rFonts w:hint="eastAsia" w:ascii="华文仿宋" w:hAnsi="华文仿宋" w:eastAsia="华文仿宋" w:cs="仿宋"/>
          <w:color w:val="000000"/>
          <w:sz w:val="30"/>
          <w:szCs w:val="30"/>
          <w:highlight w:val="white"/>
        </w:rPr>
        <w:t>（款）</w:t>
      </w:r>
      <w:r>
        <w:rPr>
          <w:rFonts w:hint="eastAsia" w:ascii="华文仿宋" w:hAnsi="华文仿宋" w:eastAsia="华文仿宋" w:cs="仿宋"/>
          <w:color w:val="000000"/>
          <w:sz w:val="30"/>
          <w:szCs w:val="30"/>
        </w:rPr>
        <w:t>其他组织事务支出</w:t>
      </w:r>
      <w:r>
        <w:rPr>
          <w:rFonts w:hint="eastAsia" w:ascii="华文仿宋" w:hAnsi="华文仿宋" w:eastAsia="华文仿宋" w:cs="仿宋"/>
          <w:color w:val="000000"/>
          <w:sz w:val="30"/>
          <w:szCs w:val="30"/>
          <w:highlight w:val="white"/>
        </w:rPr>
        <w:t>（项）。年初预算为0万元，支出决算为30万元，决算数大于预算数的主要原因是该笔经费为上年结转资金，2020年度收回后再下达</w:t>
      </w:r>
      <w:r>
        <w:rPr>
          <w:rFonts w:hint="eastAsia" w:ascii="华文仿宋" w:hAnsi="华文仿宋" w:eastAsia="华文仿宋" w:cs="仿宋"/>
          <w:color w:val="000000"/>
          <w:sz w:val="30"/>
          <w:szCs w:val="30"/>
        </w:rPr>
        <w:t>，用于</w:t>
      </w:r>
      <w:r>
        <w:rPr>
          <w:rFonts w:hint="eastAsia" w:ascii="华文仿宋" w:hAnsi="华文仿宋" w:eastAsia="华文仿宋"/>
          <w:bCs/>
          <w:color w:val="000000"/>
          <w:sz w:val="30"/>
          <w:szCs w:val="30"/>
        </w:rPr>
        <w:t>府前市场“两新”党群活动室建设，转给国投公司安排使用</w:t>
      </w:r>
      <w:r>
        <w:rPr>
          <w:rFonts w:hint="eastAsia" w:ascii="华文仿宋" w:hAnsi="华文仿宋" w:eastAsia="华文仿宋" w:cs="仿宋"/>
          <w:color w:val="000000"/>
          <w:sz w:val="30"/>
          <w:szCs w:val="30"/>
          <w:highlight w:val="white"/>
        </w:rPr>
        <w:t>。</w:t>
      </w:r>
    </w:p>
    <w:p>
      <w:pPr>
        <w:autoSpaceDE w:val="0"/>
        <w:autoSpaceDN w:val="0"/>
        <w:adjustRightInd w:val="0"/>
        <w:spacing w:line="324" w:lineRule="auto"/>
        <w:ind w:firstLine="600" w:firstLineChars="200"/>
        <w:rPr>
          <w:rFonts w:ascii="华文仿宋" w:hAnsi="华文仿宋" w:eastAsia="华文仿宋" w:cs="仿宋"/>
          <w:color w:val="000000"/>
          <w:sz w:val="30"/>
          <w:szCs w:val="30"/>
          <w:highlight w:val="white"/>
        </w:rPr>
      </w:pPr>
      <w:r>
        <w:rPr>
          <w:rFonts w:hint="eastAsia" w:ascii="华文仿宋" w:hAnsi="华文仿宋" w:eastAsia="华文仿宋" w:cs="仿宋"/>
          <w:color w:val="000000"/>
          <w:sz w:val="30"/>
          <w:szCs w:val="30"/>
        </w:rPr>
        <w:t>一般公共服务支出</w:t>
      </w:r>
      <w:r>
        <w:rPr>
          <w:rFonts w:hint="eastAsia" w:ascii="华文仿宋" w:hAnsi="华文仿宋" w:eastAsia="华文仿宋" w:cs="仿宋"/>
          <w:color w:val="000000"/>
          <w:sz w:val="30"/>
          <w:szCs w:val="30"/>
          <w:highlight w:val="white"/>
        </w:rPr>
        <w:t>（类）</w:t>
      </w:r>
      <w:r>
        <w:rPr>
          <w:rFonts w:hint="eastAsia" w:ascii="华文仿宋" w:hAnsi="华文仿宋" w:eastAsia="华文仿宋" w:cs="仿宋"/>
          <w:color w:val="000000"/>
          <w:sz w:val="30"/>
          <w:szCs w:val="30"/>
        </w:rPr>
        <w:t>市场监督管理事务</w:t>
      </w:r>
      <w:r>
        <w:rPr>
          <w:rFonts w:hint="eastAsia" w:ascii="华文仿宋" w:hAnsi="华文仿宋" w:eastAsia="华文仿宋" w:cs="仿宋"/>
          <w:color w:val="000000"/>
          <w:sz w:val="30"/>
          <w:szCs w:val="30"/>
          <w:highlight w:val="white"/>
        </w:rPr>
        <w:t>（款）</w:t>
      </w:r>
      <w:r>
        <w:rPr>
          <w:rFonts w:hint="eastAsia" w:ascii="华文仿宋" w:hAnsi="华文仿宋" w:eastAsia="华文仿宋" w:cs="仿宋"/>
          <w:color w:val="000000"/>
          <w:sz w:val="30"/>
          <w:szCs w:val="30"/>
        </w:rPr>
        <w:t>行政运行</w:t>
      </w:r>
      <w:r>
        <w:rPr>
          <w:rFonts w:hint="eastAsia" w:ascii="华文仿宋" w:hAnsi="华文仿宋" w:eastAsia="华文仿宋" w:cs="仿宋"/>
          <w:color w:val="000000"/>
          <w:sz w:val="30"/>
          <w:szCs w:val="30"/>
          <w:highlight w:val="white"/>
        </w:rPr>
        <w:t>（项）。年初预算为2051.85万元，支出决算为2825.58万元，</w:t>
      </w:r>
      <w:r>
        <w:rPr>
          <w:rFonts w:hint="eastAsia" w:ascii="华文仿宋" w:hAnsi="华文仿宋" w:eastAsia="华文仿宋"/>
          <w:color w:val="000000"/>
          <w:sz w:val="30"/>
          <w:szCs w:val="30"/>
          <w:shd w:val="clear" w:color="auto" w:fill="FFFFFF"/>
        </w:rPr>
        <w:t>完成年初预算的137.71%，</w:t>
      </w:r>
      <w:r>
        <w:rPr>
          <w:rFonts w:hint="eastAsia" w:ascii="华文仿宋" w:hAnsi="华文仿宋" w:eastAsia="华文仿宋" w:cs="仿宋"/>
          <w:color w:val="000000"/>
          <w:sz w:val="30"/>
          <w:szCs w:val="30"/>
          <w:highlight w:val="white"/>
        </w:rPr>
        <w:t>决算数大于预算数的主要原因是</w:t>
      </w:r>
      <w:r>
        <w:rPr>
          <w:rFonts w:hint="eastAsia" w:ascii="华文仿宋" w:hAnsi="华文仿宋" w:eastAsia="华文仿宋"/>
          <w:color w:val="000000"/>
          <w:sz w:val="30"/>
          <w:szCs w:val="30"/>
          <w:shd w:val="clear" w:color="auto" w:fill="FFFFFF"/>
        </w:rPr>
        <w:t>单位工作人员工资正常晋升、综合奖发放，增加了2020年度新进公务员工资、奖金等支出。</w:t>
      </w:r>
    </w:p>
    <w:p>
      <w:pPr>
        <w:spacing w:line="640" w:lineRule="exact"/>
        <w:ind w:firstLine="600" w:firstLineChars="200"/>
        <w:rPr>
          <w:rFonts w:ascii="华文仿宋" w:hAnsi="华文仿宋" w:eastAsia="华文仿宋" w:cs="仿宋"/>
          <w:color w:val="000000"/>
          <w:sz w:val="30"/>
          <w:szCs w:val="30"/>
        </w:rPr>
      </w:pPr>
      <w:r>
        <w:rPr>
          <w:rFonts w:hint="eastAsia" w:ascii="华文仿宋" w:hAnsi="华文仿宋" w:eastAsia="华文仿宋" w:cs="仿宋"/>
          <w:color w:val="000000"/>
          <w:sz w:val="30"/>
          <w:szCs w:val="30"/>
        </w:rPr>
        <w:t>一般公共服务支出（类）市场监督管理事务（款）一般行政管理事务（项）。年初预算为59.1万元，支出决算为74.23万元，完成年初预算的125.21%，决算数大于预算数的主要原因是追加了市场监督执法经费，用于执法办案、综治考核、特种车电动车运维、设备耗材等。</w:t>
      </w:r>
    </w:p>
    <w:p>
      <w:pPr>
        <w:spacing w:line="640" w:lineRule="exact"/>
        <w:ind w:firstLine="600" w:firstLineChars="200"/>
        <w:rPr>
          <w:rFonts w:ascii="华文仿宋" w:hAnsi="华文仿宋" w:eastAsia="华文仿宋" w:cs="仿宋"/>
          <w:color w:val="000000"/>
          <w:sz w:val="30"/>
          <w:szCs w:val="30"/>
        </w:rPr>
      </w:pPr>
      <w:r>
        <w:rPr>
          <w:rFonts w:hint="eastAsia" w:ascii="华文仿宋" w:hAnsi="华文仿宋" w:eastAsia="华文仿宋" w:cs="仿宋"/>
          <w:color w:val="000000"/>
          <w:sz w:val="30"/>
          <w:szCs w:val="30"/>
        </w:rPr>
        <w:t>一般公共服务支出（类）市场监督管理事务（款）市场主体管理（项）。</w:t>
      </w:r>
      <w:r>
        <w:rPr>
          <w:rFonts w:hint="eastAsia" w:ascii="华文仿宋" w:hAnsi="华文仿宋" w:eastAsia="华文仿宋" w:cs="仿宋"/>
          <w:color w:val="000000"/>
          <w:sz w:val="30"/>
          <w:szCs w:val="30"/>
          <w:highlight w:val="white"/>
        </w:rPr>
        <w:t>年初预算为0万元，支出决算为94.14万元，决算数大于预算数的主要原因是</w:t>
      </w:r>
      <w:r>
        <w:rPr>
          <w:rFonts w:hint="eastAsia" w:ascii="华文仿宋" w:hAnsi="华文仿宋" w:eastAsia="华文仿宋" w:cs="仿宋"/>
          <w:color w:val="000000"/>
          <w:sz w:val="30"/>
          <w:szCs w:val="30"/>
        </w:rPr>
        <w:t>市场监督管理专项91万元为上年结转资金，市场监督执法经费3.14万元为追加经费，用于支付5辆特种专业技术用车车款。</w:t>
      </w:r>
    </w:p>
    <w:p>
      <w:pPr>
        <w:spacing w:line="640" w:lineRule="exact"/>
        <w:ind w:firstLine="600" w:firstLineChars="200"/>
        <w:rPr>
          <w:rFonts w:ascii="华文仿宋" w:hAnsi="华文仿宋" w:eastAsia="华文仿宋" w:cs="仿宋"/>
          <w:color w:val="000000"/>
          <w:sz w:val="30"/>
          <w:szCs w:val="30"/>
          <w:highlight w:val="white"/>
        </w:rPr>
      </w:pPr>
      <w:r>
        <w:rPr>
          <w:rFonts w:hint="eastAsia" w:ascii="华文仿宋" w:hAnsi="华文仿宋" w:eastAsia="华文仿宋" w:cs="仿宋"/>
          <w:color w:val="000000"/>
          <w:sz w:val="30"/>
          <w:szCs w:val="30"/>
          <w:highlight w:val="white"/>
        </w:rPr>
        <w:t>一般公共服务支出（类）市场监督管理事务（款）市场秩序执法（项）。年初预算为25.56万元，支出决算为24.99万元，完成年初预算的97.77%，决算数小于预算数的主要原因是市场监督执法经费“最多跑一次”证照邮寄费支出略微少于预算数。</w:t>
      </w:r>
    </w:p>
    <w:p>
      <w:pPr>
        <w:spacing w:line="640" w:lineRule="exact"/>
        <w:ind w:firstLine="600" w:firstLineChars="200"/>
        <w:rPr>
          <w:rFonts w:ascii="华文仿宋" w:hAnsi="华文仿宋" w:eastAsia="华文仿宋" w:cs="仿宋"/>
          <w:color w:val="000000"/>
          <w:sz w:val="30"/>
          <w:szCs w:val="30"/>
        </w:rPr>
      </w:pPr>
      <w:r>
        <w:rPr>
          <w:rFonts w:hint="eastAsia" w:ascii="华文仿宋" w:hAnsi="华文仿宋" w:eastAsia="华文仿宋" w:cs="仿宋"/>
          <w:color w:val="000000"/>
          <w:sz w:val="30"/>
          <w:szCs w:val="30"/>
        </w:rPr>
        <w:t>一般公共服务支出</w:t>
      </w:r>
      <w:r>
        <w:rPr>
          <w:rFonts w:hint="eastAsia" w:ascii="华文仿宋" w:hAnsi="华文仿宋" w:eastAsia="华文仿宋" w:cs="仿宋"/>
          <w:color w:val="000000"/>
          <w:sz w:val="30"/>
          <w:szCs w:val="30"/>
          <w:highlight w:val="white"/>
        </w:rPr>
        <w:t>（类）</w:t>
      </w:r>
      <w:r>
        <w:rPr>
          <w:rFonts w:hint="eastAsia" w:ascii="华文仿宋" w:hAnsi="华文仿宋" w:eastAsia="华文仿宋" w:cs="仿宋"/>
          <w:color w:val="000000"/>
          <w:sz w:val="30"/>
          <w:szCs w:val="30"/>
        </w:rPr>
        <w:t>市场监督管理事务</w:t>
      </w:r>
      <w:r>
        <w:rPr>
          <w:rFonts w:hint="eastAsia" w:ascii="华文仿宋" w:hAnsi="华文仿宋" w:eastAsia="华文仿宋" w:cs="仿宋"/>
          <w:color w:val="000000"/>
          <w:sz w:val="30"/>
          <w:szCs w:val="30"/>
          <w:highlight w:val="white"/>
        </w:rPr>
        <w:t>（款）</w:t>
      </w:r>
      <w:r>
        <w:rPr>
          <w:rFonts w:hint="eastAsia" w:ascii="华文仿宋" w:hAnsi="华文仿宋" w:eastAsia="华文仿宋" w:cs="仿宋"/>
          <w:color w:val="000000"/>
          <w:sz w:val="30"/>
          <w:szCs w:val="30"/>
        </w:rPr>
        <w:t>信息化建设</w:t>
      </w:r>
      <w:r>
        <w:rPr>
          <w:rFonts w:hint="eastAsia" w:ascii="华文仿宋" w:hAnsi="华文仿宋" w:eastAsia="华文仿宋" w:cs="仿宋"/>
          <w:color w:val="000000"/>
          <w:sz w:val="30"/>
          <w:szCs w:val="30"/>
          <w:highlight w:val="white"/>
        </w:rPr>
        <w:t>（项）。年初预算为12.73万元，支出决算为13.53万元，</w:t>
      </w:r>
      <w:r>
        <w:rPr>
          <w:rFonts w:hint="eastAsia" w:ascii="华文仿宋" w:hAnsi="华文仿宋" w:eastAsia="华文仿宋"/>
          <w:color w:val="000000"/>
          <w:sz w:val="30"/>
          <w:szCs w:val="30"/>
          <w:shd w:val="clear" w:color="auto" w:fill="FFFFFF"/>
        </w:rPr>
        <w:t>完成年初预算的106.28%，</w:t>
      </w:r>
      <w:r>
        <w:rPr>
          <w:rFonts w:hint="eastAsia" w:ascii="华文仿宋" w:hAnsi="华文仿宋" w:eastAsia="华文仿宋" w:cs="仿宋"/>
          <w:color w:val="000000"/>
          <w:sz w:val="30"/>
          <w:szCs w:val="30"/>
          <w:highlight w:val="white"/>
        </w:rPr>
        <w:t>决算数大于预算数的主要原因是</w:t>
      </w:r>
      <w:r>
        <w:rPr>
          <w:rFonts w:hint="eastAsia" w:ascii="华文仿宋" w:hAnsi="华文仿宋" w:eastAsia="华文仿宋" w:cs="仿宋"/>
          <w:color w:val="000000"/>
          <w:sz w:val="30"/>
          <w:szCs w:val="30"/>
        </w:rPr>
        <w:t>增加上年结转资金0.8万元，用于采购办公设备。</w:t>
      </w:r>
    </w:p>
    <w:p>
      <w:pPr>
        <w:spacing w:line="640" w:lineRule="exact"/>
        <w:ind w:firstLine="600" w:firstLineChars="200"/>
        <w:rPr>
          <w:rFonts w:ascii="华文仿宋" w:hAnsi="华文仿宋" w:eastAsia="华文仿宋" w:cs="仿宋"/>
          <w:color w:val="000000"/>
          <w:sz w:val="30"/>
          <w:szCs w:val="30"/>
        </w:rPr>
      </w:pPr>
      <w:r>
        <w:rPr>
          <w:rFonts w:hint="eastAsia" w:ascii="华文仿宋" w:hAnsi="华文仿宋" w:eastAsia="华文仿宋" w:cs="仿宋"/>
          <w:color w:val="000000"/>
          <w:sz w:val="30"/>
          <w:szCs w:val="30"/>
        </w:rPr>
        <w:t>一般公共服务支出</w:t>
      </w:r>
      <w:r>
        <w:rPr>
          <w:rFonts w:hint="eastAsia" w:ascii="华文仿宋" w:hAnsi="华文仿宋" w:eastAsia="华文仿宋" w:cs="仿宋"/>
          <w:color w:val="000000"/>
          <w:sz w:val="30"/>
          <w:szCs w:val="30"/>
          <w:highlight w:val="white"/>
        </w:rPr>
        <w:t>（类）</w:t>
      </w:r>
      <w:r>
        <w:rPr>
          <w:rFonts w:hint="eastAsia" w:ascii="华文仿宋" w:hAnsi="华文仿宋" w:eastAsia="华文仿宋" w:cs="仿宋"/>
          <w:color w:val="000000"/>
          <w:sz w:val="30"/>
          <w:szCs w:val="30"/>
        </w:rPr>
        <w:t>市场监督管理事务</w:t>
      </w:r>
      <w:r>
        <w:rPr>
          <w:rFonts w:hint="eastAsia" w:ascii="华文仿宋" w:hAnsi="华文仿宋" w:eastAsia="华文仿宋" w:cs="仿宋"/>
          <w:color w:val="000000"/>
          <w:sz w:val="30"/>
          <w:szCs w:val="30"/>
          <w:highlight w:val="white"/>
        </w:rPr>
        <w:t>（款）</w:t>
      </w:r>
      <w:r>
        <w:rPr>
          <w:rFonts w:hint="eastAsia" w:ascii="华文仿宋" w:hAnsi="华文仿宋" w:eastAsia="华文仿宋" w:cs="仿宋"/>
          <w:color w:val="000000"/>
          <w:sz w:val="30"/>
          <w:szCs w:val="30"/>
        </w:rPr>
        <w:t>质量基础</w:t>
      </w:r>
      <w:r>
        <w:rPr>
          <w:rFonts w:hint="eastAsia" w:ascii="华文仿宋" w:hAnsi="华文仿宋" w:eastAsia="华文仿宋" w:cs="仿宋"/>
          <w:color w:val="000000"/>
          <w:sz w:val="30"/>
          <w:szCs w:val="30"/>
          <w:highlight w:val="white"/>
        </w:rPr>
        <w:t>（项）。年初预算为170万元，支出决算</w:t>
      </w:r>
      <w:r>
        <w:rPr>
          <w:rFonts w:hint="eastAsia" w:ascii="华文仿宋" w:hAnsi="华文仿宋" w:eastAsia="华文仿宋" w:cs="仿宋"/>
          <w:color w:val="000000"/>
          <w:sz w:val="30"/>
          <w:szCs w:val="30"/>
        </w:rPr>
        <w:t>为162.25万元，完成年初预算的95.44%，决算数小于预算数的主要原因是检测中心机构人员变化较大，无法正常开展运行相关业务，部分经费有所结余。</w:t>
      </w:r>
    </w:p>
    <w:p>
      <w:pPr>
        <w:spacing w:line="640" w:lineRule="exact"/>
        <w:ind w:firstLine="600" w:firstLineChars="200"/>
        <w:rPr>
          <w:rFonts w:ascii="华文仿宋" w:hAnsi="华文仿宋" w:eastAsia="华文仿宋" w:cs="仿宋"/>
          <w:color w:val="000000"/>
          <w:sz w:val="30"/>
          <w:szCs w:val="30"/>
        </w:rPr>
      </w:pPr>
      <w:r>
        <w:rPr>
          <w:rFonts w:hint="eastAsia" w:ascii="华文仿宋" w:hAnsi="华文仿宋" w:eastAsia="华文仿宋" w:cs="仿宋"/>
          <w:color w:val="000000"/>
          <w:sz w:val="30"/>
          <w:szCs w:val="30"/>
        </w:rPr>
        <w:t>一般公共服务支出</w:t>
      </w:r>
      <w:r>
        <w:rPr>
          <w:rFonts w:hint="eastAsia" w:ascii="华文仿宋" w:hAnsi="华文仿宋" w:eastAsia="华文仿宋" w:cs="仿宋"/>
          <w:color w:val="000000"/>
          <w:sz w:val="30"/>
          <w:szCs w:val="30"/>
          <w:highlight w:val="white"/>
        </w:rPr>
        <w:t>（类）</w:t>
      </w:r>
      <w:r>
        <w:rPr>
          <w:rFonts w:hint="eastAsia" w:ascii="华文仿宋" w:hAnsi="华文仿宋" w:eastAsia="华文仿宋" w:cs="仿宋"/>
          <w:color w:val="000000"/>
          <w:sz w:val="30"/>
          <w:szCs w:val="30"/>
        </w:rPr>
        <w:t>市场监督管理事务</w:t>
      </w:r>
      <w:r>
        <w:rPr>
          <w:rFonts w:hint="eastAsia" w:ascii="华文仿宋" w:hAnsi="华文仿宋" w:eastAsia="华文仿宋" w:cs="仿宋"/>
          <w:color w:val="000000"/>
          <w:sz w:val="30"/>
          <w:szCs w:val="30"/>
          <w:highlight w:val="white"/>
        </w:rPr>
        <w:t>（款）</w:t>
      </w:r>
      <w:r>
        <w:rPr>
          <w:rFonts w:hint="eastAsia" w:ascii="华文仿宋" w:hAnsi="华文仿宋" w:eastAsia="华文仿宋" w:cs="仿宋"/>
          <w:color w:val="000000"/>
          <w:sz w:val="30"/>
          <w:szCs w:val="30"/>
        </w:rPr>
        <w:t>食品安全监管</w:t>
      </w:r>
      <w:r>
        <w:rPr>
          <w:rFonts w:hint="eastAsia" w:ascii="华文仿宋" w:hAnsi="华文仿宋" w:eastAsia="华文仿宋" w:cs="仿宋"/>
          <w:color w:val="000000"/>
          <w:sz w:val="30"/>
          <w:szCs w:val="30"/>
          <w:highlight w:val="white"/>
        </w:rPr>
        <w:t>（项）。年初预算为4.5万元，支出决算</w:t>
      </w:r>
      <w:r>
        <w:rPr>
          <w:rFonts w:hint="eastAsia" w:ascii="华文仿宋" w:hAnsi="华文仿宋" w:eastAsia="华文仿宋" w:cs="仿宋"/>
          <w:color w:val="000000"/>
          <w:sz w:val="30"/>
          <w:szCs w:val="30"/>
        </w:rPr>
        <w:t>为4.5万元，完成年初预算的100%，决算数等于预算数的主要原因是项目支出按照预算执行，较好的使用该项目经费。</w:t>
      </w:r>
    </w:p>
    <w:p>
      <w:pPr>
        <w:spacing w:line="640" w:lineRule="exact"/>
        <w:ind w:firstLine="600" w:firstLineChars="200"/>
        <w:rPr>
          <w:rFonts w:ascii="华文仿宋" w:hAnsi="华文仿宋" w:eastAsia="华文仿宋" w:cs="仿宋"/>
          <w:color w:val="000000"/>
          <w:sz w:val="30"/>
          <w:szCs w:val="30"/>
          <w:highlight w:val="white"/>
        </w:rPr>
      </w:pPr>
      <w:r>
        <w:rPr>
          <w:rFonts w:hint="eastAsia" w:ascii="华文仿宋" w:hAnsi="华文仿宋" w:eastAsia="华文仿宋" w:cs="仿宋"/>
          <w:color w:val="000000"/>
          <w:sz w:val="30"/>
          <w:szCs w:val="30"/>
          <w:highlight w:val="white"/>
        </w:rPr>
        <w:t>一般公共服务支出（类）市场监督管理事务（款）事业运行（项）。年初预算为264.39万元，支出决算为277.16万元，完成年初预算的104.83%，决算数大于预算数的主要原因是单位工作人员工资正常晋升、综合奖发放，增加了2020年度新进事业人员工资、奖金等支出。</w:t>
      </w:r>
    </w:p>
    <w:p>
      <w:pPr>
        <w:spacing w:line="640" w:lineRule="exact"/>
        <w:ind w:firstLine="600" w:firstLineChars="200"/>
        <w:rPr>
          <w:rFonts w:ascii="华文仿宋" w:hAnsi="华文仿宋" w:eastAsia="华文仿宋" w:cs="仿宋"/>
          <w:color w:val="000000"/>
          <w:sz w:val="30"/>
          <w:szCs w:val="30"/>
        </w:rPr>
      </w:pPr>
      <w:r>
        <w:rPr>
          <w:rFonts w:hint="eastAsia" w:ascii="华文仿宋" w:hAnsi="华文仿宋" w:eastAsia="华文仿宋" w:cs="仿宋"/>
          <w:color w:val="000000"/>
          <w:sz w:val="30"/>
          <w:szCs w:val="30"/>
        </w:rPr>
        <w:t>一般公共服务支出（类）市场监督管理事务（款）其他市场监督管理事务（项）。年初预算为393.1万元，支出决算为2022.72万元，完成年初预算的514.56%，决算数大于预算数的主要原因是追加惠企利民两直补助1512.2万元、创建补助84.19万元、宣传经费13.38万元、市场监督执法经费20万元等项目经费，上年结转市场监督管理专项1.4万元、食品安全监管3万元，部分评估检测经费因市级药品监督抽检费用减少而小于预算数，最终导致决算数大幅增加。</w:t>
      </w:r>
    </w:p>
    <w:p>
      <w:pPr>
        <w:spacing w:line="640" w:lineRule="exact"/>
        <w:ind w:firstLine="600" w:firstLineChars="200"/>
        <w:rPr>
          <w:rFonts w:ascii="华文仿宋" w:hAnsi="华文仿宋" w:eastAsia="华文仿宋" w:cs="仿宋"/>
          <w:color w:val="000000"/>
          <w:sz w:val="30"/>
          <w:szCs w:val="30"/>
        </w:rPr>
      </w:pPr>
      <w:r>
        <w:rPr>
          <w:rFonts w:hint="eastAsia" w:ascii="华文仿宋" w:hAnsi="华文仿宋" w:eastAsia="华文仿宋" w:cs="仿宋"/>
          <w:color w:val="000000"/>
          <w:sz w:val="30"/>
          <w:szCs w:val="30"/>
        </w:rPr>
        <w:t>科学技术支出（类）科学技术支出（款）其他技术研究与开发支出（项）。年初预算为0万元，支出决算为86.45万元，决算数大于预算数的主要原因是追加金属制品检测中心设备购置86.45万元。</w:t>
      </w:r>
    </w:p>
    <w:p>
      <w:pPr>
        <w:spacing w:line="640" w:lineRule="exact"/>
        <w:ind w:firstLine="600" w:firstLineChars="200"/>
        <w:rPr>
          <w:rFonts w:ascii="华文仿宋" w:hAnsi="华文仿宋" w:eastAsia="华文仿宋" w:cs="仿宋"/>
          <w:color w:val="000000"/>
          <w:sz w:val="30"/>
          <w:szCs w:val="30"/>
        </w:rPr>
      </w:pPr>
      <w:r>
        <w:rPr>
          <w:rFonts w:hint="eastAsia" w:ascii="华文仿宋" w:hAnsi="华文仿宋" w:eastAsia="华文仿宋" w:cs="仿宋"/>
          <w:color w:val="000000"/>
          <w:sz w:val="30"/>
          <w:szCs w:val="30"/>
        </w:rPr>
        <w:t>社会保障和就业支出（类）行政事业单位养老支出（款）机关事业单位基本养老保险缴费支出（项）。年初预算为181.63万元，支出决算为181.37万元，完成年初预算的99.86%，决算数略小于预算数的主要原因是基本按预算安排支出。</w:t>
      </w:r>
    </w:p>
    <w:p>
      <w:pPr>
        <w:spacing w:line="640" w:lineRule="exact"/>
        <w:ind w:firstLine="600" w:firstLineChars="200"/>
        <w:rPr>
          <w:rFonts w:ascii="华文仿宋" w:hAnsi="华文仿宋" w:eastAsia="华文仿宋" w:cs="仿宋"/>
          <w:color w:val="000000"/>
          <w:sz w:val="30"/>
          <w:szCs w:val="30"/>
        </w:rPr>
      </w:pPr>
      <w:r>
        <w:rPr>
          <w:rFonts w:hint="eastAsia" w:ascii="华文仿宋" w:hAnsi="华文仿宋" w:eastAsia="华文仿宋" w:cs="仿宋"/>
          <w:color w:val="000000"/>
          <w:sz w:val="30"/>
          <w:szCs w:val="30"/>
        </w:rPr>
        <w:t>社会保障和就业支出（类）行政事业单位养老支出（款）机关事业单位职业年金缴费支出（项）。年初预算为90.81万元，支出决算为90.33万元，完成年初预算的99.47%，决算数略小于预算数的主要原因是基本按预算安排支出。</w:t>
      </w:r>
    </w:p>
    <w:p>
      <w:pPr>
        <w:spacing w:line="640" w:lineRule="exact"/>
        <w:ind w:firstLine="600" w:firstLineChars="200"/>
        <w:rPr>
          <w:rFonts w:ascii="华文仿宋" w:hAnsi="华文仿宋" w:eastAsia="华文仿宋" w:cs="仿宋"/>
          <w:color w:val="000000"/>
          <w:sz w:val="30"/>
          <w:szCs w:val="30"/>
        </w:rPr>
      </w:pPr>
      <w:r>
        <w:rPr>
          <w:rFonts w:hint="eastAsia" w:ascii="华文仿宋" w:hAnsi="华文仿宋" w:eastAsia="华文仿宋" w:cs="仿宋"/>
          <w:color w:val="000000"/>
          <w:sz w:val="30"/>
          <w:szCs w:val="30"/>
        </w:rPr>
        <w:t>社会保障和就业支出（类）行政事业单位养老支出（款）其他行政事业单位养老支出（项）。年初预算为37.72万元，支出决算为49.84万元，完成年初预算的132.13%，决算数大于预算数的主要原因是2019年度退休干部节假日慰问金剩余部分在2020年度支出。</w:t>
      </w:r>
    </w:p>
    <w:p>
      <w:pPr>
        <w:spacing w:line="640" w:lineRule="exact"/>
        <w:ind w:firstLine="600" w:firstLineChars="200"/>
        <w:rPr>
          <w:rFonts w:ascii="华文仿宋" w:hAnsi="华文仿宋" w:eastAsia="华文仿宋" w:cs="仿宋"/>
          <w:color w:val="000000"/>
          <w:sz w:val="30"/>
          <w:szCs w:val="30"/>
        </w:rPr>
      </w:pPr>
      <w:r>
        <w:rPr>
          <w:rFonts w:hint="eastAsia" w:ascii="华文仿宋" w:hAnsi="华文仿宋" w:eastAsia="华文仿宋" w:cs="仿宋"/>
          <w:color w:val="000000"/>
          <w:sz w:val="30"/>
          <w:szCs w:val="30"/>
        </w:rPr>
        <w:t>卫生健康支出（类）行政事业单位医疗（款）公务员医疗补助（项）。年初预算为128.96万元，支出决算为128.96万元，完成年初预算的100%，决算数等于预算数的主要原因是按预算安排支出。</w:t>
      </w:r>
    </w:p>
    <w:p>
      <w:pPr>
        <w:spacing w:line="640" w:lineRule="exact"/>
        <w:ind w:firstLine="600" w:firstLineChars="200"/>
        <w:rPr>
          <w:rFonts w:ascii="华文仿宋" w:hAnsi="华文仿宋" w:eastAsia="华文仿宋" w:cs="仿宋"/>
          <w:color w:val="000000"/>
          <w:sz w:val="30"/>
          <w:szCs w:val="30"/>
        </w:rPr>
      </w:pPr>
      <w:r>
        <w:rPr>
          <w:rFonts w:hint="eastAsia" w:ascii="华文仿宋" w:hAnsi="华文仿宋" w:eastAsia="华文仿宋" w:cs="仿宋"/>
          <w:color w:val="000000"/>
          <w:sz w:val="30"/>
          <w:szCs w:val="30"/>
        </w:rPr>
        <w:t>卫生健康支出（类）行政事业单位医疗（款）其他行政事业单位医疗支出（项）。年初预算为71.52万元，支出决算为71.29万元，完成年初预算的99.68%，决算数略小于预算数的主要原因是基本按预算安排支出。</w:t>
      </w:r>
    </w:p>
    <w:p>
      <w:pPr>
        <w:spacing w:line="640" w:lineRule="exact"/>
        <w:ind w:firstLine="600" w:firstLineChars="200"/>
        <w:rPr>
          <w:rFonts w:ascii="华文仿宋" w:hAnsi="华文仿宋" w:eastAsia="华文仿宋"/>
          <w:bCs/>
          <w:color w:val="000000"/>
          <w:sz w:val="30"/>
          <w:szCs w:val="30"/>
        </w:rPr>
      </w:pPr>
      <w:r>
        <w:rPr>
          <w:rFonts w:hint="eastAsia" w:ascii="华文仿宋" w:hAnsi="华文仿宋" w:eastAsia="华文仿宋" w:cs="仿宋"/>
          <w:color w:val="000000"/>
          <w:sz w:val="30"/>
          <w:szCs w:val="30"/>
        </w:rPr>
        <w:t>城乡社区支出（类）其他城乡社区支出（款）其他城乡社区支出（项）。年初预算为0万元，支出决算为9万元，决算数大于预算数的主要原因是追加</w:t>
      </w:r>
      <w:r>
        <w:rPr>
          <w:rFonts w:hint="eastAsia" w:ascii="华文仿宋" w:hAnsi="华文仿宋" w:eastAsia="华文仿宋"/>
          <w:bCs/>
          <w:color w:val="000000"/>
          <w:sz w:val="30"/>
          <w:szCs w:val="30"/>
        </w:rPr>
        <w:t>全县市场整体规划专项设计9万元。</w:t>
      </w:r>
    </w:p>
    <w:p>
      <w:pPr>
        <w:spacing w:line="640" w:lineRule="exact"/>
        <w:ind w:firstLine="600" w:firstLineChars="200"/>
        <w:rPr>
          <w:rFonts w:ascii="华文仿宋" w:hAnsi="华文仿宋" w:eastAsia="华文仿宋"/>
          <w:bCs/>
          <w:color w:val="000000"/>
          <w:sz w:val="30"/>
          <w:szCs w:val="30"/>
        </w:rPr>
      </w:pPr>
      <w:r>
        <w:rPr>
          <w:rFonts w:hint="eastAsia" w:ascii="华文仿宋" w:hAnsi="华文仿宋" w:eastAsia="华文仿宋" w:cs="仿宋"/>
          <w:color w:val="000000"/>
          <w:sz w:val="30"/>
          <w:szCs w:val="30"/>
        </w:rPr>
        <w:t>商业服务业等支出（类）其他商业服务业等支出（款）其他商业服务业等支出（项）。年初预算为0万元，支出决算为32.17万元，决算数大于预算数的主要原因是追加</w:t>
      </w:r>
      <w:r>
        <w:rPr>
          <w:rFonts w:hint="eastAsia" w:ascii="华文仿宋" w:hAnsi="华文仿宋" w:eastAsia="华文仿宋"/>
          <w:bCs/>
          <w:color w:val="000000"/>
          <w:sz w:val="30"/>
          <w:szCs w:val="30"/>
        </w:rPr>
        <w:t>2019年度总部经济企业政策兑现奖励贝尼菲特32.17万元。</w:t>
      </w:r>
    </w:p>
    <w:p>
      <w:pPr>
        <w:keepNext w:val="0"/>
        <w:keepLines w:val="0"/>
        <w:pageBreakBefore w:val="0"/>
        <w:kinsoku/>
        <w:wordWrap/>
        <w:overflowPunct/>
        <w:topLinePunct w:val="0"/>
        <w:autoSpaceDE/>
        <w:autoSpaceDN/>
        <w:bidi w:val="0"/>
        <w:adjustRightInd/>
        <w:snapToGrid/>
        <w:spacing w:line="640" w:lineRule="exact"/>
        <w:ind w:firstLine="600" w:firstLineChars="200"/>
        <w:textAlignment w:val="auto"/>
        <w:rPr>
          <w:rFonts w:ascii="华文仿宋" w:hAnsi="华文仿宋" w:eastAsia="华文仿宋" w:cs="仿宋"/>
          <w:color w:val="000000"/>
          <w:sz w:val="30"/>
          <w:szCs w:val="30"/>
        </w:rPr>
      </w:pPr>
      <w:r>
        <w:rPr>
          <w:rFonts w:hint="eastAsia" w:ascii="华文仿宋" w:hAnsi="华文仿宋" w:eastAsia="华文仿宋" w:cs="仿宋"/>
          <w:color w:val="000000"/>
          <w:sz w:val="30"/>
          <w:szCs w:val="30"/>
        </w:rPr>
        <w:t>住房保障支出（类）住房改革支出（款）住房公积金（项）。年初预算为294.27万元，支出决算为294.27万元，完成年初预算的100%，决算数等于预算数的主要原因是按预算安排支出。</w:t>
      </w:r>
    </w:p>
    <w:p>
      <w:pPr>
        <w:pStyle w:val="23"/>
        <w:keepNext w:val="0"/>
        <w:keepLines w:val="0"/>
        <w:pageBreakBefore w:val="0"/>
        <w:kinsoku/>
        <w:wordWrap/>
        <w:overflowPunct/>
        <w:topLinePunct w:val="0"/>
        <w:autoSpaceDE/>
        <w:autoSpaceDN/>
        <w:bidi w:val="0"/>
        <w:adjustRightInd/>
        <w:snapToGrid/>
        <w:ind w:firstLine="601" w:firstLineChars="200"/>
        <w:textAlignment w:val="auto"/>
        <w:outlineLvl w:val="1"/>
      </w:pPr>
      <w:bookmarkStart w:id="11" w:name="_Toc14031"/>
      <w:r>
        <w:rPr>
          <w:rFonts w:hint="eastAsia"/>
        </w:rPr>
        <w:t>（六）一般公共预算财政拨款基本支出决算情况说明</w:t>
      </w:r>
      <w:bookmarkEnd w:id="11"/>
    </w:p>
    <w:p>
      <w:pPr>
        <w:keepNext w:val="0"/>
        <w:keepLines w:val="0"/>
        <w:pageBreakBefore w:val="0"/>
        <w:kinsoku/>
        <w:wordWrap/>
        <w:overflowPunct/>
        <w:topLinePunct w:val="0"/>
        <w:autoSpaceDE/>
        <w:autoSpaceDN/>
        <w:bidi w:val="0"/>
        <w:adjustRightInd/>
        <w:snapToGrid/>
        <w:spacing w:line="640" w:lineRule="exact"/>
        <w:ind w:firstLine="600" w:firstLineChars="200"/>
        <w:textAlignment w:val="auto"/>
        <w:rPr>
          <w:rFonts w:ascii="华文仿宋" w:hAnsi="华文仿宋" w:eastAsia="华文仿宋" w:cs="仿宋"/>
          <w:color w:val="000000"/>
          <w:sz w:val="30"/>
          <w:szCs w:val="30"/>
        </w:rPr>
      </w:pPr>
      <w:r>
        <w:rPr>
          <w:rFonts w:hint="eastAsia" w:ascii="华文仿宋" w:hAnsi="华文仿宋" w:eastAsia="华文仿宋" w:cs="仿宋"/>
          <w:color w:val="000000"/>
          <w:sz w:val="30"/>
          <w:szCs w:val="30"/>
        </w:rPr>
        <w:t>2020年度一般公共预算财政拨款基本支出3918.8万元，其中：</w:t>
      </w:r>
    </w:p>
    <w:p>
      <w:pPr>
        <w:keepNext w:val="0"/>
        <w:keepLines w:val="0"/>
        <w:pageBreakBefore w:val="0"/>
        <w:kinsoku/>
        <w:wordWrap/>
        <w:overflowPunct/>
        <w:topLinePunct w:val="0"/>
        <w:autoSpaceDE/>
        <w:autoSpaceDN/>
        <w:bidi w:val="0"/>
        <w:adjustRightInd/>
        <w:snapToGrid/>
        <w:spacing w:line="640" w:lineRule="exact"/>
        <w:ind w:firstLine="600" w:firstLineChars="200"/>
        <w:textAlignment w:val="auto"/>
        <w:rPr>
          <w:rFonts w:ascii="华文仿宋" w:hAnsi="华文仿宋" w:eastAsia="华文仿宋" w:cs="仿宋"/>
          <w:color w:val="000000"/>
          <w:sz w:val="30"/>
          <w:szCs w:val="30"/>
        </w:rPr>
      </w:pPr>
      <w:r>
        <w:rPr>
          <w:rFonts w:hint="eastAsia" w:ascii="华文仿宋" w:hAnsi="华文仿宋" w:eastAsia="华文仿宋" w:cs="仿宋"/>
          <w:color w:val="000000"/>
          <w:sz w:val="30"/>
          <w:szCs w:val="30"/>
        </w:rPr>
        <w:t>人员经费3479.72万元，主要包括：基本工资、津贴补贴、奖金、绩效工资、机关事业单位基本养老保险缴费、职业年金缴费、职工基本医疗保险缴费、公务员医疗补助缴费、其他社会保障缴费、住房公积金、其他工资福利支出、抚恤金、生活补助、其他对个人和家庭的补助支出等；</w:t>
      </w:r>
    </w:p>
    <w:p>
      <w:pPr>
        <w:keepNext w:val="0"/>
        <w:keepLines w:val="0"/>
        <w:pageBreakBefore w:val="0"/>
        <w:kinsoku/>
        <w:wordWrap/>
        <w:overflowPunct/>
        <w:topLinePunct w:val="0"/>
        <w:bidi w:val="0"/>
        <w:snapToGrid/>
        <w:spacing w:line="640" w:lineRule="exact"/>
        <w:ind w:firstLine="600" w:firstLineChars="200"/>
        <w:textAlignment w:val="auto"/>
        <w:rPr>
          <w:rFonts w:ascii="华文仿宋" w:hAnsi="华文仿宋" w:eastAsia="华文仿宋" w:cs="仿宋"/>
          <w:color w:val="000000"/>
          <w:sz w:val="30"/>
          <w:szCs w:val="30"/>
        </w:rPr>
      </w:pPr>
      <w:r>
        <w:rPr>
          <w:rFonts w:hint="eastAsia" w:ascii="华文仿宋" w:hAnsi="华文仿宋" w:eastAsia="华文仿宋" w:cs="仿宋"/>
          <w:color w:val="000000"/>
          <w:sz w:val="30"/>
          <w:szCs w:val="30"/>
        </w:rPr>
        <w:t>公用经费439.08万元，主要包括：邮电费、公务接待费、劳务费、福利费、其他交通费、其他商品和服务支出、对其他非营利组织和群众性自治组织补贴等。</w:t>
      </w:r>
    </w:p>
    <w:p>
      <w:pPr>
        <w:pStyle w:val="23"/>
        <w:keepNext w:val="0"/>
        <w:keepLines w:val="0"/>
        <w:pageBreakBefore w:val="0"/>
        <w:kinsoku/>
        <w:wordWrap/>
        <w:overflowPunct/>
        <w:topLinePunct w:val="0"/>
        <w:bidi w:val="0"/>
        <w:snapToGrid/>
        <w:ind w:firstLine="601" w:firstLineChars="200"/>
        <w:textAlignment w:val="auto"/>
        <w:outlineLvl w:val="1"/>
        <w:rPr>
          <w:rFonts w:cs="仿宋"/>
          <w:highlight w:val="white"/>
        </w:rPr>
      </w:pPr>
      <w:bookmarkStart w:id="12" w:name="_Toc13420"/>
      <w:r>
        <w:rPr>
          <w:rFonts w:hint="eastAsia"/>
          <w:shd w:val="clear" w:color="auto" w:fill="FFFFFF"/>
        </w:rPr>
        <w:t>（七）政府性基金预算财政拨款支出决算总体情况说明</w:t>
      </w:r>
      <w:bookmarkEnd w:id="12"/>
    </w:p>
    <w:p>
      <w:pPr>
        <w:keepNext w:val="0"/>
        <w:keepLines w:val="0"/>
        <w:pageBreakBefore w:val="0"/>
        <w:kinsoku/>
        <w:wordWrap/>
        <w:overflowPunct/>
        <w:topLinePunct w:val="0"/>
        <w:autoSpaceDE w:val="0"/>
        <w:autoSpaceDN w:val="0"/>
        <w:bidi w:val="0"/>
        <w:adjustRightInd w:val="0"/>
        <w:snapToGrid/>
        <w:spacing w:line="324" w:lineRule="auto"/>
        <w:ind w:firstLine="601" w:firstLineChars="200"/>
        <w:textAlignment w:val="auto"/>
        <w:rPr>
          <w:rFonts w:ascii="华文仿宋" w:hAnsi="华文仿宋" w:eastAsia="华文仿宋" w:cs="仿宋"/>
          <w:color w:val="000000"/>
          <w:sz w:val="30"/>
          <w:szCs w:val="30"/>
          <w:highlight w:val="white"/>
        </w:rPr>
      </w:pPr>
      <w:r>
        <w:rPr>
          <w:rFonts w:ascii="华文仿宋" w:hAnsi="华文仿宋" w:eastAsia="华文仿宋" w:cs="仿宋"/>
          <w:b/>
          <w:bCs/>
          <w:color w:val="000000"/>
          <w:sz w:val="30"/>
          <w:szCs w:val="30"/>
          <w:highlight w:val="white"/>
        </w:rPr>
        <w:t>1.</w:t>
      </w:r>
      <w:r>
        <w:rPr>
          <w:rFonts w:hint="eastAsia" w:ascii="华文仿宋" w:hAnsi="华文仿宋" w:eastAsia="华文仿宋" w:cs="仿宋"/>
          <w:b/>
          <w:bCs/>
          <w:color w:val="000000"/>
          <w:sz w:val="30"/>
          <w:szCs w:val="30"/>
          <w:highlight w:val="white"/>
        </w:rPr>
        <w:t>政府性基金预算财政拨款支出决算总体情况。</w:t>
      </w:r>
    </w:p>
    <w:p>
      <w:pPr>
        <w:keepNext w:val="0"/>
        <w:keepLines w:val="0"/>
        <w:pageBreakBefore w:val="0"/>
        <w:kinsoku/>
        <w:wordWrap/>
        <w:overflowPunct/>
        <w:topLinePunct w:val="0"/>
        <w:bidi w:val="0"/>
        <w:snapToGrid/>
        <w:spacing w:line="640" w:lineRule="exact"/>
        <w:ind w:firstLine="600" w:firstLineChars="200"/>
        <w:textAlignment w:val="auto"/>
        <w:rPr>
          <w:rFonts w:ascii="华文仿宋" w:hAnsi="华文仿宋" w:eastAsia="华文仿宋" w:cs="仿宋"/>
          <w:color w:val="000000"/>
          <w:sz w:val="30"/>
          <w:szCs w:val="30"/>
        </w:rPr>
      </w:pPr>
      <w:r>
        <w:rPr>
          <w:rFonts w:ascii="华文仿宋" w:hAnsi="华文仿宋" w:eastAsia="华文仿宋" w:cs="仿宋"/>
          <w:color w:val="000000"/>
          <w:sz w:val="30"/>
          <w:szCs w:val="30"/>
        </w:rPr>
        <w:t>2020</w:t>
      </w:r>
      <w:r>
        <w:rPr>
          <w:rFonts w:hint="eastAsia" w:ascii="华文仿宋" w:hAnsi="华文仿宋" w:eastAsia="华文仿宋" w:cs="仿宋"/>
          <w:color w:val="000000"/>
          <w:sz w:val="30"/>
          <w:szCs w:val="30"/>
        </w:rPr>
        <w:t>年度政府性基金预算财政拨款支出</w:t>
      </w:r>
      <w:r>
        <w:rPr>
          <w:rFonts w:ascii="华文仿宋" w:hAnsi="华文仿宋" w:eastAsia="华文仿宋" w:cs="仿宋"/>
          <w:color w:val="000000"/>
          <w:sz w:val="30"/>
          <w:szCs w:val="30"/>
        </w:rPr>
        <w:t>164.8</w:t>
      </w:r>
      <w:r>
        <w:rPr>
          <w:rFonts w:hint="eastAsia" w:ascii="华文仿宋" w:hAnsi="华文仿宋" w:eastAsia="华文仿宋" w:cs="仿宋"/>
          <w:color w:val="000000"/>
          <w:sz w:val="30"/>
          <w:szCs w:val="30"/>
        </w:rPr>
        <w:t>万元，占本年支出合计的</w:t>
      </w:r>
      <w:r>
        <w:rPr>
          <w:rFonts w:ascii="华文仿宋" w:hAnsi="华文仿宋" w:eastAsia="华文仿宋" w:cs="仿宋"/>
          <w:color w:val="000000"/>
          <w:sz w:val="30"/>
          <w:szCs w:val="30"/>
        </w:rPr>
        <w:t>2.39%</w:t>
      </w:r>
      <w:r>
        <w:rPr>
          <w:rFonts w:hint="eastAsia" w:ascii="华文仿宋" w:hAnsi="华文仿宋" w:eastAsia="华文仿宋" w:cs="仿宋"/>
          <w:color w:val="000000"/>
          <w:sz w:val="30"/>
          <w:szCs w:val="30"/>
        </w:rPr>
        <w:t>。与</w:t>
      </w:r>
      <w:r>
        <w:rPr>
          <w:rFonts w:ascii="华文仿宋" w:hAnsi="华文仿宋" w:eastAsia="华文仿宋" w:cs="仿宋"/>
          <w:color w:val="000000"/>
          <w:sz w:val="30"/>
          <w:szCs w:val="30"/>
        </w:rPr>
        <w:t>2019</w:t>
      </w:r>
      <w:r>
        <w:rPr>
          <w:rFonts w:hint="eastAsia" w:ascii="华文仿宋" w:hAnsi="华文仿宋" w:eastAsia="华文仿宋" w:cs="仿宋"/>
          <w:color w:val="000000"/>
          <w:sz w:val="30"/>
          <w:szCs w:val="30"/>
        </w:rPr>
        <w:t>年相比，政府性基金预算财政拨款支出增加164.8万元，主要原因是：2020年度追加政策扶持-品牌创建经费30.5万元，政策扶持-生态工业经费134.3万元。</w:t>
      </w:r>
    </w:p>
    <w:p>
      <w:pPr>
        <w:autoSpaceDE w:val="0"/>
        <w:autoSpaceDN w:val="0"/>
        <w:adjustRightInd w:val="0"/>
        <w:spacing w:line="324" w:lineRule="auto"/>
        <w:ind w:firstLine="601" w:firstLineChars="200"/>
        <w:rPr>
          <w:rFonts w:ascii="华文仿宋" w:hAnsi="华文仿宋" w:eastAsia="华文仿宋" w:cs="仿宋"/>
          <w:color w:val="000000"/>
          <w:sz w:val="30"/>
          <w:szCs w:val="30"/>
          <w:highlight w:val="white"/>
        </w:rPr>
      </w:pPr>
      <w:r>
        <w:rPr>
          <w:rFonts w:ascii="华文仿宋" w:hAnsi="华文仿宋" w:eastAsia="华文仿宋" w:cs="仿宋"/>
          <w:b/>
          <w:bCs/>
          <w:color w:val="000000"/>
          <w:sz w:val="30"/>
          <w:szCs w:val="30"/>
          <w:highlight w:val="white"/>
        </w:rPr>
        <w:t>2.</w:t>
      </w:r>
      <w:r>
        <w:rPr>
          <w:rFonts w:hint="eastAsia" w:ascii="华文仿宋" w:hAnsi="华文仿宋" w:eastAsia="华文仿宋" w:cs="仿宋"/>
          <w:b/>
          <w:bCs/>
          <w:color w:val="000000"/>
          <w:sz w:val="30"/>
          <w:szCs w:val="30"/>
          <w:highlight w:val="white"/>
        </w:rPr>
        <w:t>政府性基金预算财政拨款支出决算结构情况。</w:t>
      </w:r>
    </w:p>
    <w:p>
      <w:pPr>
        <w:spacing w:line="640" w:lineRule="exact"/>
        <w:ind w:firstLine="600" w:firstLineChars="200"/>
        <w:rPr>
          <w:rFonts w:ascii="华文仿宋" w:hAnsi="华文仿宋" w:eastAsia="华文仿宋" w:cs="仿宋"/>
          <w:color w:val="000000"/>
          <w:sz w:val="30"/>
          <w:szCs w:val="30"/>
        </w:rPr>
      </w:pPr>
      <w:r>
        <w:rPr>
          <w:rFonts w:ascii="华文仿宋" w:hAnsi="华文仿宋" w:eastAsia="华文仿宋" w:cs="仿宋"/>
          <w:color w:val="000000"/>
          <w:sz w:val="30"/>
          <w:szCs w:val="30"/>
        </w:rPr>
        <w:t>2020</w:t>
      </w:r>
      <w:r>
        <w:rPr>
          <w:rFonts w:hint="eastAsia" w:ascii="华文仿宋" w:hAnsi="华文仿宋" w:eastAsia="华文仿宋" w:cs="仿宋"/>
          <w:color w:val="000000"/>
          <w:sz w:val="30"/>
          <w:szCs w:val="30"/>
        </w:rPr>
        <w:t>年度政府性基金预算财政拨款支出</w:t>
      </w:r>
      <w:r>
        <w:rPr>
          <w:rFonts w:ascii="华文仿宋" w:hAnsi="华文仿宋" w:eastAsia="华文仿宋" w:cs="仿宋"/>
          <w:color w:val="000000"/>
          <w:sz w:val="30"/>
          <w:szCs w:val="30"/>
        </w:rPr>
        <w:t>164.8</w:t>
      </w:r>
      <w:r>
        <w:rPr>
          <w:rFonts w:hint="eastAsia" w:ascii="华文仿宋" w:hAnsi="华文仿宋" w:eastAsia="华文仿宋" w:cs="仿宋"/>
          <w:color w:val="000000"/>
          <w:sz w:val="30"/>
          <w:szCs w:val="30"/>
        </w:rPr>
        <w:t>万元，主要用于以下方面：科学技术（类）支出</w:t>
      </w:r>
      <w:r>
        <w:rPr>
          <w:rFonts w:ascii="华文仿宋" w:hAnsi="华文仿宋" w:eastAsia="华文仿宋" w:cs="仿宋"/>
          <w:color w:val="000000"/>
          <w:sz w:val="30"/>
          <w:szCs w:val="30"/>
        </w:rPr>
        <w:t>0</w:t>
      </w:r>
      <w:r>
        <w:rPr>
          <w:rFonts w:hint="eastAsia" w:ascii="华文仿宋" w:hAnsi="华文仿宋" w:eastAsia="华文仿宋" w:cs="仿宋"/>
          <w:color w:val="000000"/>
          <w:sz w:val="30"/>
          <w:szCs w:val="30"/>
        </w:rPr>
        <w:t>万元</w:t>
      </w:r>
      <w:r>
        <w:rPr>
          <w:rFonts w:ascii="华文仿宋" w:hAnsi="华文仿宋" w:eastAsia="华文仿宋" w:cs="仿宋"/>
          <w:color w:val="000000"/>
          <w:sz w:val="30"/>
          <w:szCs w:val="30"/>
        </w:rPr>
        <w:t>,</w:t>
      </w:r>
      <w:r>
        <w:rPr>
          <w:rFonts w:hint="eastAsia" w:ascii="华文仿宋" w:hAnsi="华文仿宋" w:eastAsia="华文仿宋" w:cs="仿宋"/>
          <w:color w:val="000000"/>
          <w:sz w:val="30"/>
          <w:szCs w:val="30"/>
        </w:rPr>
        <w:t>占</w:t>
      </w:r>
      <w:r>
        <w:rPr>
          <w:rFonts w:ascii="华文仿宋" w:hAnsi="华文仿宋" w:eastAsia="华文仿宋" w:cs="仿宋"/>
          <w:color w:val="000000"/>
          <w:sz w:val="30"/>
          <w:szCs w:val="30"/>
        </w:rPr>
        <w:t>0%</w:t>
      </w:r>
      <w:r>
        <w:rPr>
          <w:rFonts w:hint="eastAsia" w:ascii="华文仿宋" w:hAnsi="华文仿宋" w:eastAsia="华文仿宋" w:cs="仿宋"/>
          <w:color w:val="000000"/>
          <w:sz w:val="30"/>
          <w:szCs w:val="30"/>
        </w:rPr>
        <w:t>；文化旅游体育与传媒（类）支出</w:t>
      </w:r>
      <w:r>
        <w:rPr>
          <w:rFonts w:ascii="华文仿宋" w:hAnsi="华文仿宋" w:eastAsia="华文仿宋" w:cs="仿宋"/>
          <w:color w:val="000000"/>
          <w:sz w:val="30"/>
          <w:szCs w:val="30"/>
        </w:rPr>
        <w:t>0</w:t>
      </w:r>
      <w:r>
        <w:rPr>
          <w:rFonts w:hint="eastAsia" w:ascii="华文仿宋" w:hAnsi="华文仿宋" w:eastAsia="华文仿宋" w:cs="仿宋"/>
          <w:color w:val="000000"/>
          <w:sz w:val="30"/>
          <w:szCs w:val="30"/>
        </w:rPr>
        <w:t>万元</w:t>
      </w:r>
      <w:r>
        <w:rPr>
          <w:rFonts w:ascii="华文仿宋" w:hAnsi="华文仿宋" w:eastAsia="华文仿宋" w:cs="仿宋"/>
          <w:color w:val="000000"/>
          <w:sz w:val="30"/>
          <w:szCs w:val="30"/>
        </w:rPr>
        <w:t>,</w:t>
      </w:r>
      <w:r>
        <w:rPr>
          <w:rFonts w:hint="eastAsia" w:ascii="华文仿宋" w:hAnsi="华文仿宋" w:eastAsia="华文仿宋" w:cs="仿宋"/>
          <w:color w:val="000000"/>
          <w:sz w:val="30"/>
          <w:szCs w:val="30"/>
        </w:rPr>
        <w:t>占</w:t>
      </w:r>
      <w:r>
        <w:rPr>
          <w:rFonts w:ascii="华文仿宋" w:hAnsi="华文仿宋" w:eastAsia="华文仿宋" w:cs="仿宋"/>
          <w:color w:val="000000"/>
          <w:sz w:val="30"/>
          <w:szCs w:val="30"/>
        </w:rPr>
        <w:t>0%</w:t>
      </w:r>
      <w:r>
        <w:rPr>
          <w:rFonts w:hint="eastAsia" w:ascii="华文仿宋" w:hAnsi="华文仿宋" w:eastAsia="华文仿宋" w:cs="仿宋"/>
          <w:color w:val="000000"/>
          <w:sz w:val="30"/>
          <w:szCs w:val="30"/>
        </w:rPr>
        <w:t>；社会保障和就业（类）支出</w:t>
      </w:r>
      <w:r>
        <w:rPr>
          <w:rFonts w:ascii="华文仿宋" w:hAnsi="华文仿宋" w:eastAsia="华文仿宋" w:cs="仿宋"/>
          <w:color w:val="000000"/>
          <w:sz w:val="30"/>
          <w:szCs w:val="30"/>
        </w:rPr>
        <w:t>0</w:t>
      </w:r>
      <w:r>
        <w:rPr>
          <w:rFonts w:hint="eastAsia" w:ascii="华文仿宋" w:hAnsi="华文仿宋" w:eastAsia="华文仿宋" w:cs="仿宋"/>
          <w:color w:val="000000"/>
          <w:sz w:val="30"/>
          <w:szCs w:val="30"/>
        </w:rPr>
        <w:t>万元</w:t>
      </w:r>
      <w:r>
        <w:rPr>
          <w:rFonts w:ascii="华文仿宋" w:hAnsi="华文仿宋" w:eastAsia="华文仿宋" w:cs="仿宋"/>
          <w:color w:val="000000"/>
          <w:sz w:val="30"/>
          <w:szCs w:val="30"/>
        </w:rPr>
        <w:t>,</w:t>
      </w:r>
      <w:r>
        <w:rPr>
          <w:rFonts w:hint="eastAsia" w:ascii="华文仿宋" w:hAnsi="华文仿宋" w:eastAsia="华文仿宋" w:cs="仿宋"/>
          <w:color w:val="000000"/>
          <w:sz w:val="30"/>
          <w:szCs w:val="30"/>
        </w:rPr>
        <w:t>占</w:t>
      </w:r>
      <w:r>
        <w:rPr>
          <w:rFonts w:ascii="华文仿宋" w:hAnsi="华文仿宋" w:eastAsia="华文仿宋" w:cs="仿宋"/>
          <w:color w:val="000000"/>
          <w:sz w:val="30"/>
          <w:szCs w:val="30"/>
        </w:rPr>
        <w:t>0%</w:t>
      </w:r>
      <w:r>
        <w:rPr>
          <w:rFonts w:hint="eastAsia" w:ascii="华文仿宋" w:hAnsi="华文仿宋" w:eastAsia="华文仿宋" w:cs="仿宋"/>
          <w:color w:val="000000"/>
          <w:sz w:val="30"/>
          <w:szCs w:val="30"/>
        </w:rPr>
        <w:t>；节能环保（类）支出</w:t>
      </w:r>
      <w:r>
        <w:rPr>
          <w:rFonts w:ascii="华文仿宋" w:hAnsi="华文仿宋" w:eastAsia="华文仿宋" w:cs="仿宋"/>
          <w:color w:val="000000"/>
          <w:sz w:val="30"/>
          <w:szCs w:val="30"/>
        </w:rPr>
        <w:t>0</w:t>
      </w:r>
      <w:r>
        <w:rPr>
          <w:rFonts w:hint="eastAsia" w:ascii="华文仿宋" w:hAnsi="华文仿宋" w:eastAsia="华文仿宋" w:cs="仿宋"/>
          <w:color w:val="000000"/>
          <w:sz w:val="30"/>
          <w:szCs w:val="30"/>
        </w:rPr>
        <w:t>万元</w:t>
      </w:r>
      <w:r>
        <w:rPr>
          <w:rFonts w:ascii="华文仿宋" w:hAnsi="华文仿宋" w:eastAsia="华文仿宋" w:cs="仿宋"/>
          <w:color w:val="000000"/>
          <w:sz w:val="30"/>
          <w:szCs w:val="30"/>
        </w:rPr>
        <w:t>,</w:t>
      </w:r>
      <w:r>
        <w:rPr>
          <w:rFonts w:hint="eastAsia" w:ascii="华文仿宋" w:hAnsi="华文仿宋" w:eastAsia="华文仿宋" w:cs="仿宋"/>
          <w:color w:val="000000"/>
          <w:sz w:val="30"/>
          <w:szCs w:val="30"/>
        </w:rPr>
        <w:t>占</w:t>
      </w:r>
      <w:r>
        <w:rPr>
          <w:rFonts w:ascii="华文仿宋" w:hAnsi="华文仿宋" w:eastAsia="华文仿宋" w:cs="仿宋"/>
          <w:color w:val="000000"/>
          <w:sz w:val="30"/>
          <w:szCs w:val="30"/>
        </w:rPr>
        <w:t>0%</w:t>
      </w:r>
      <w:r>
        <w:rPr>
          <w:rFonts w:hint="eastAsia" w:ascii="华文仿宋" w:hAnsi="华文仿宋" w:eastAsia="华文仿宋" w:cs="仿宋"/>
          <w:color w:val="000000"/>
          <w:sz w:val="30"/>
          <w:szCs w:val="30"/>
        </w:rPr>
        <w:t>；城乡社区（类）支出</w:t>
      </w:r>
      <w:r>
        <w:rPr>
          <w:rFonts w:ascii="华文仿宋" w:hAnsi="华文仿宋" w:eastAsia="华文仿宋" w:cs="仿宋"/>
          <w:color w:val="000000"/>
          <w:sz w:val="30"/>
          <w:szCs w:val="30"/>
        </w:rPr>
        <w:t>0</w:t>
      </w:r>
      <w:r>
        <w:rPr>
          <w:rFonts w:hint="eastAsia" w:ascii="华文仿宋" w:hAnsi="华文仿宋" w:eastAsia="华文仿宋" w:cs="仿宋"/>
          <w:color w:val="000000"/>
          <w:sz w:val="30"/>
          <w:szCs w:val="30"/>
        </w:rPr>
        <w:t>万元</w:t>
      </w:r>
      <w:r>
        <w:rPr>
          <w:rFonts w:ascii="华文仿宋" w:hAnsi="华文仿宋" w:eastAsia="华文仿宋" w:cs="仿宋"/>
          <w:color w:val="000000"/>
          <w:sz w:val="30"/>
          <w:szCs w:val="30"/>
        </w:rPr>
        <w:t>,</w:t>
      </w:r>
      <w:r>
        <w:rPr>
          <w:rFonts w:hint="eastAsia" w:ascii="华文仿宋" w:hAnsi="华文仿宋" w:eastAsia="华文仿宋" w:cs="仿宋"/>
          <w:color w:val="000000"/>
          <w:sz w:val="30"/>
          <w:szCs w:val="30"/>
        </w:rPr>
        <w:t>占</w:t>
      </w:r>
      <w:r>
        <w:rPr>
          <w:rFonts w:ascii="华文仿宋" w:hAnsi="华文仿宋" w:eastAsia="华文仿宋" w:cs="仿宋"/>
          <w:color w:val="000000"/>
          <w:sz w:val="30"/>
          <w:szCs w:val="30"/>
        </w:rPr>
        <w:t>0%</w:t>
      </w:r>
      <w:r>
        <w:rPr>
          <w:rFonts w:hint="eastAsia" w:ascii="华文仿宋" w:hAnsi="华文仿宋" w:eastAsia="华文仿宋" w:cs="仿宋"/>
          <w:color w:val="000000"/>
          <w:sz w:val="30"/>
          <w:szCs w:val="30"/>
        </w:rPr>
        <w:t>；农林水（类）支出</w:t>
      </w:r>
      <w:r>
        <w:rPr>
          <w:rFonts w:ascii="华文仿宋" w:hAnsi="华文仿宋" w:eastAsia="华文仿宋" w:cs="仿宋"/>
          <w:color w:val="000000"/>
          <w:sz w:val="30"/>
          <w:szCs w:val="30"/>
        </w:rPr>
        <w:t>0</w:t>
      </w:r>
      <w:r>
        <w:rPr>
          <w:rFonts w:hint="eastAsia" w:ascii="华文仿宋" w:hAnsi="华文仿宋" w:eastAsia="华文仿宋" w:cs="仿宋"/>
          <w:color w:val="000000"/>
          <w:sz w:val="30"/>
          <w:szCs w:val="30"/>
        </w:rPr>
        <w:t>万元</w:t>
      </w:r>
      <w:r>
        <w:rPr>
          <w:rFonts w:ascii="华文仿宋" w:hAnsi="华文仿宋" w:eastAsia="华文仿宋" w:cs="仿宋"/>
          <w:color w:val="000000"/>
          <w:sz w:val="30"/>
          <w:szCs w:val="30"/>
        </w:rPr>
        <w:t>,</w:t>
      </w:r>
      <w:r>
        <w:rPr>
          <w:rFonts w:hint="eastAsia" w:ascii="华文仿宋" w:hAnsi="华文仿宋" w:eastAsia="华文仿宋" w:cs="仿宋"/>
          <w:color w:val="000000"/>
          <w:sz w:val="30"/>
          <w:szCs w:val="30"/>
        </w:rPr>
        <w:t>占</w:t>
      </w:r>
      <w:r>
        <w:rPr>
          <w:rFonts w:ascii="华文仿宋" w:hAnsi="华文仿宋" w:eastAsia="华文仿宋" w:cs="仿宋"/>
          <w:color w:val="000000"/>
          <w:sz w:val="30"/>
          <w:szCs w:val="30"/>
        </w:rPr>
        <w:t>0%</w:t>
      </w:r>
      <w:r>
        <w:rPr>
          <w:rFonts w:hint="eastAsia" w:ascii="华文仿宋" w:hAnsi="华文仿宋" w:eastAsia="华文仿宋" w:cs="仿宋"/>
          <w:color w:val="000000"/>
          <w:sz w:val="30"/>
          <w:szCs w:val="30"/>
        </w:rPr>
        <w:t>；交通运输（类）支出</w:t>
      </w:r>
      <w:r>
        <w:rPr>
          <w:rFonts w:ascii="华文仿宋" w:hAnsi="华文仿宋" w:eastAsia="华文仿宋" w:cs="仿宋"/>
          <w:color w:val="000000"/>
          <w:sz w:val="30"/>
          <w:szCs w:val="30"/>
        </w:rPr>
        <w:t>0</w:t>
      </w:r>
      <w:r>
        <w:rPr>
          <w:rFonts w:hint="eastAsia" w:ascii="华文仿宋" w:hAnsi="华文仿宋" w:eastAsia="华文仿宋" w:cs="仿宋"/>
          <w:color w:val="000000"/>
          <w:sz w:val="30"/>
          <w:szCs w:val="30"/>
        </w:rPr>
        <w:t>万元</w:t>
      </w:r>
      <w:r>
        <w:rPr>
          <w:rFonts w:ascii="华文仿宋" w:hAnsi="华文仿宋" w:eastAsia="华文仿宋" w:cs="仿宋"/>
          <w:color w:val="000000"/>
          <w:sz w:val="30"/>
          <w:szCs w:val="30"/>
        </w:rPr>
        <w:t>,</w:t>
      </w:r>
      <w:r>
        <w:rPr>
          <w:rFonts w:hint="eastAsia" w:ascii="华文仿宋" w:hAnsi="华文仿宋" w:eastAsia="华文仿宋" w:cs="仿宋"/>
          <w:color w:val="000000"/>
          <w:sz w:val="30"/>
          <w:szCs w:val="30"/>
        </w:rPr>
        <w:t>占</w:t>
      </w:r>
      <w:r>
        <w:rPr>
          <w:rFonts w:ascii="华文仿宋" w:hAnsi="华文仿宋" w:eastAsia="华文仿宋" w:cs="仿宋"/>
          <w:color w:val="000000"/>
          <w:sz w:val="30"/>
          <w:szCs w:val="30"/>
        </w:rPr>
        <w:t>0%</w:t>
      </w:r>
      <w:r>
        <w:rPr>
          <w:rFonts w:hint="eastAsia" w:ascii="华文仿宋" w:hAnsi="华文仿宋" w:eastAsia="华文仿宋" w:cs="仿宋"/>
          <w:color w:val="000000"/>
          <w:sz w:val="30"/>
          <w:szCs w:val="30"/>
        </w:rPr>
        <w:t>；资源勘探信息等（类）支出</w:t>
      </w:r>
      <w:r>
        <w:rPr>
          <w:rFonts w:ascii="华文仿宋" w:hAnsi="华文仿宋" w:eastAsia="华文仿宋" w:cs="仿宋"/>
          <w:color w:val="000000"/>
          <w:sz w:val="30"/>
          <w:szCs w:val="30"/>
        </w:rPr>
        <w:t>0</w:t>
      </w:r>
      <w:r>
        <w:rPr>
          <w:rFonts w:hint="eastAsia" w:ascii="华文仿宋" w:hAnsi="华文仿宋" w:eastAsia="华文仿宋" w:cs="仿宋"/>
          <w:color w:val="000000"/>
          <w:sz w:val="30"/>
          <w:szCs w:val="30"/>
        </w:rPr>
        <w:t>万元</w:t>
      </w:r>
      <w:r>
        <w:rPr>
          <w:rFonts w:ascii="华文仿宋" w:hAnsi="华文仿宋" w:eastAsia="华文仿宋" w:cs="仿宋"/>
          <w:color w:val="000000"/>
          <w:sz w:val="30"/>
          <w:szCs w:val="30"/>
        </w:rPr>
        <w:t>,</w:t>
      </w:r>
      <w:r>
        <w:rPr>
          <w:rFonts w:hint="eastAsia" w:ascii="华文仿宋" w:hAnsi="华文仿宋" w:eastAsia="华文仿宋" w:cs="仿宋"/>
          <w:color w:val="000000"/>
          <w:sz w:val="30"/>
          <w:szCs w:val="30"/>
        </w:rPr>
        <w:t>占</w:t>
      </w:r>
      <w:r>
        <w:rPr>
          <w:rFonts w:ascii="华文仿宋" w:hAnsi="华文仿宋" w:eastAsia="华文仿宋" w:cs="仿宋"/>
          <w:color w:val="000000"/>
          <w:sz w:val="30"/>
          <w:szCs w:val="30"/>
        </w:rPr>
        <w:t>0%</w:t>
      </w:r>
      <w:r>
        <w:rPr>
          <w:rFonts w:hint="eastAsia" w:ascii="华文仿宋" w:hAnsi="华文仿宋" w:eastAsia="华文仿宋" w:cs="仿宋"/>
          <w:color w:val="000000"/>
          <w:sz w:val="30"/>
          <w:szCs w:val="30"/>
        </w:rPr>
        <w:t>；金融（类）支出</w:t>
      </w:r>
      <w:r>
        <w:rPr>
          <w:rFonts w:ascii="华文仿宋" w:hAnsi="华文仿宋" w:eastAsia="华文仿宋" w:cs="仿宋"/>
          <w:color w:val="000000"/>
          <w:sz w:val="30"/>
          <w:szCs w:val="30"/>
        </w:rPr>
        <w:t>0</w:t>
      </w:r>
      <w:r>
        <w:rPr>
          <w:rFonts w:hint="eastAsia" w:ascii="华文仿宋" w:hAnsi="华文仿宋" w:eastAsia="华文仿宋" w:cs="仿宋"/>
          <w:color w:val="000000"/>
          <w:sz w:val="30"/>
          <w:szCs w:val="30"/>
        </w:rPr>
        <w:t>万元</w:t>
      </w:r>
      <w:r>
        <w:rPr>
          <w:rFonts w:ascii="华文仿宋" w:hAnsi="华文仿宋" w:eastAsia="华文仿宋" w:cs="仿宋"/>
          <w:color w:val="000000"/>
          <w:sz w:val="30"/>
          <w:szCs w:val="30"/>
        </w:rPr>
        <w:t>,</w:t>
      </w:r>
      <w:r>
        <w:rPr>
          <w:rFonts w:hint="eastAsia" w:ascii="华文仿宋" w:hAnsi="华文仿宋" w:eastAsia="华文仿宋" w:cs="仿宋"/>
          <w:color w:val="000000"/>
          <w:sz w:val="30"/>
          <w:szCs w:val="30"/>
        </w:rPr>
        <w:t>占</w:t>
      </w:r>
      <w:r>
        <w:rPr>
          <w:rFonts w:ascii="华文仿宋" w:hAnsi="华文仿宋" w:eastAsia="华文仿宋" w:cs="仿宋"/>
          <w:color w:val="000000"/>
          <w:sz w:val="30"/>
          <w:szCs w:val="30"/>
        </w:rPr>
        <w:t>0%</w:t>
      </w:r>
      <w:r>
        <w:rPr>
          <w:rFonts w:hint="eastAsia" w:ascii="华文仿宋" w:hAnsi="华文仿宋" w:eastAsia="华文仿宋" w:cs="仿宋"/>
          <w:color w:val="000000"/>
          <w:sz w:val="30"/>
          <w:szCs w:val="30"/>
        </w:rPr>
        <w:t>；其他（类）支出</w:t>
      </w:r>
      <w:r>
        <w:rPr>
          <w:rFonts w:ascii="华文仿宋" w:hAnsi="华文仿宋" w:eastAsia="华文仿宋" w:cs="仿宋"/>
          <w:color w:val="000000"/>
          <w:sz w:val="30"/>
          <w:szCs w:val="30"/>
        </w:rPr>
        <w:t>164.8</w:t>
      </w:r>
      <w:r>
        <w:rPr>
          <w:rFonts w:hint="eastAsia" w:ascii="华文仿宋" w:hAnsi="华文仿宋" w:eastAsia="华文仿宋" w:cs="仿宋"/>
          <w:color w:val="000000"/>
          <w:sz w:val="30"/>
          <w:szCs w:val="30"/>
        </w:rPr>
        <w:t>万元</w:t>
      </w:r>
      <w:r>
        <w:rPr>
          <w:rFonts w:ascii="华文仿宋" w:hAnsi="华文仿宋" w:eastAsia="华文仿宋" w:cs="仿宋"/>
          <w:color w:val="000000"/>
          <w:sz w:val="30"/>
          <w:szCs w:val="30"/>
        </w:rPr>
        <w:t>,</w:t>
      </w:r>
      <w:r>
        <w:rPr>
          <w:rFonts w:hint="eastAsia" w:ascii="华文仿宋" w:hAnsi="华文仿宋" w:eastAsia="华文仿宋" w:cs="仿宋"/>
          <w:color w:val="000000"/>
          <w:sz w:val="30"/>
          <w:szCs w:val="30"/>
        </w:rPr>
        <w:t>占</w:t>
      </w:r>
      <w:r>
        <w:rPr>
          <w:rFonts w:ascii="华文仿宋" w:hAnsi="华文仿宋" w:eastAsia="华文仿宋" w:cs="仿宋"/>
          <w:color w:val="000000"/>
          <w:sz w:val="30"/>
          <w:szCs w:val="30"/>
        </w:rPr>
        <w:t>100%</w:t>
      </w:r>
      <w:r>
        <w:rPr>
          <w:rFonts w:hint="eastAsia" w:ascii="华文仿宋" w:hAnsi="华文仿宋" w:eastAsia="华文仿宋" w:cs="仿宋"/>
          <w:color w:val="000000"/>
          <w:sz w:val="30"/>
          <w:szCs w:val="30"/>
        </w:rPr>
        <w:t>；债务付息（类）支出</w:t>
      </w:r>
      <w:r>
        <w:rPr>
          <w:rFonts w:ascii="华文仿宋" w:hAnsi="华文仿宋" w:eastAsia="华文仿宋" w:cs="仿宋"/>
          <w:color w:val="000000"/>
          <w:sz w:val="30"/>
          <w:szCs w:val="30"/>
        </w:rPr>
        <w:t>0</w:t>
      </w:r>
      <w:r>
        <w:rPr>
          <w:rFonts w:hint="eastAsia" w:ascii="华文仿宋" w:hAnsi="华文仿宋" w:eastAsia="华文仿宋" w:cs="仿宋"/>
          <w:color w:val="000000"/>
          <w:sz w:val="30"/>
          <w:szCs w:val="30"/>
        </w:rPr>
        <w:t>万元</w:t>
      </w:r>
      <w:r>
        <w:rPr>
          <w:rFonts w:ascii="华文仿宋" w:hAnsi="华文仿宋" w:eastAsia="华文仿宋" w:cs="仿宋"/>
          <w:color w:val="000000"/>
          <w:sz w:val="30"/>
          <w:szCs w:val="30"/>
        </w:rPr>
        <w:t>,</w:t>
      </w:r>
      <w:r>
        <w:rPr>
          <w:rFonts w:hint="eastAsia" w:ascii="华文仿宋" w:hAnsi="华文仿宋" w:eastAsia="华文仿宋" w:cs="仿宋"/>
          <w:color w:val="000000"/>
          <w:sz w:val="30"/>
          <w:szCs w:val="30"/>
        </w:rPr>
        <w:t>占</w:t>
      </w:r>
      <w:r>
        <w:rPr>
          <w:rFonts w:ascii="华文仿宋" w:hAnsi="华文仿宋" w:eastAsia="华文仿宋" w:cs="仿宋"/>
          <w:color w:val="000000"/>
          <w:sz w:val="30"/>
          <w:szCs w:val="30"/>
        </w:rPr>
        <w:t>0%</w:t>
      </w:r>
      <w:r>
        <w:rPr>
          <w:rFonts w:hint="eastAsia" w:ascii="华文仿宋" w:hAnsi="华文仿宋" w:eastAsia="华文仿宋" w:cs="仿宋"/>
          <w:color w:val="000000"/>
          <w:sz w:val="30"/>
          <w:szCs w:val="30"/>
        </w:rPr>
        <w:t>；抗疫特别国债安排（类）支出</w:t>
      </w:r>
      <w:r>
        <w:rPr>
          <w:rFonts w:ascii="华文仿宋" w:hAnsi="华文仿宋" w:eastAsia="华文仿宋" w:cs="仿宋"/>
          <w:color w:val="000000"/>
          <w:sz w:val="30"/>
          <w:szCs w:val="30"/>
        </w:rPr>
        <w:t>0</w:t>
      </w:r>
      <w:r>
        <w:rPr>
          <w:rFonts w:hint="eastAsia" w:ascii="华文仿宋" w:hAnsi="华文仿宋" w:eastAsia="华文仿宋" w:cs="仿宋"/>
          <w:color w:val="000000"/>
          <w:sz w:val="30"/>
          <w:szCs w:val="30"/>
        </w:rPr>
        <w:t>万元</w:t>
      </w:r>
      <w:r>
        <w:rPr>
          <w:rFonts w:ascii="华文仿宋" w:hAnsi="华文仿宋" w:eastAsia="华文仿宋" w:cs="仿宋"/>
          <w:color w:val="000000"/>
          <w:sz w:val="30"/>
          <w:szCs w:val="30"/>
        </w:rPr>
        <w:t>,</w:t>
      </w:r>
      <w:r>
        <w:rPr>
          <w:rFonts w:hint="eastAsia" w:ascii="华文仿宋" w:hAnsi="华文仿宋" w:eastAsia="华文仿宋" w:cs="仿宋"/>
          <w:color w:val="000000"/>
          <w:sz w:val="30"/>
          <w:szCs w:val="30"/>
        </w:rPr>
        <w:t>占</w:t>
      </w:r>
      <w:r>
        <w:rPr>
          <w:rFonts w:ascii="华文仿宋" w:hAnsi="华文仿宋" w:eastAsia="华文仿宋" w:cs="仿宋"/>
          <w:color w:val="000000"/>
          <w:sz w:val="30"/>
          <w:szCs w:val="30"/>
        </w:rPr>
        <w:t>0%</w:t>
      </w:r>
      <w:r>
        <w:rPr>
          <w:rFonts w:hint="eastAsia" w:ascii="华文仿宋" w:hAnsi="华文仿宋" w:eastAsia="华文仿宋" w:cs="仿宋"/>
          <w:color w:val="000000"/>
          <w:sz w:val="30"/>
          <w:szCs w:val="30"/>
        </w:rPr>
        <w:t>。</w:t>
      </w:r>
    </w:p>
    <w:p>
      <w:pPr>
        <w:autoSpaceDE w:val="0"/>
        <w:autoSpaceDN w:val="0"/>
        <w:adjustRightInd w:val="0"/>
        <w:spacing w:line="324" w:lineRule="auto"/>
        <w:ind w:firstLine="601" w:firstLineChars="200"/>
        <w:rPr>
          <w:rFonts w:ascii="华文仿宋" w:hAnsi="华文仿宋" w:eastAsia="华文仿宋" w:cs="仿宋"/>
          <w:color w:val="000000"/>
          <w:sz w:val="30"/>
          <w:szCs w:val="30"/>
          <w:highlight w:val="white"/>
        </w:rPr>
      </w:pPr>
      <w:r>
        <w:rPr>
          <w:rFonts w:ascii="华文仿宋" w:hAnsi="华文仿宋" w:eastAsia="华文仿宋" w:cs="仿宋"/>
          <w:b/>
          <w:bCs/>
          <w:color w:val="000000"/>
          <w:sz w:val="30"/>
          <w:szCs w:val="30"/>
          <w:highlight w:val="white"/>
        </w:rPr>
        <w:t>3.</w:t>
      </w:r>
      <w:r>
        <w:rPr>
          <w:rFonts w:hint="eastAsia" w:ascii="华文仿宋" w:hAnsi="华文仿宋" w:eastAsia="华文仿宋" w:cs="仿宋"/>
          <w:b/>
          <w:bCs/>
          <w:color w:val="000000"/>
          <w:sz w:val="30"/>
          <w:szCs w:val="30"/>
          <w:highlight w:val="white"/>
        </w:rPr>
        <w:t>政府性基金预算财政拨款支出决算具体情况。</w:t>
      </w:r>
    </w:p>
    <w:p>
      <w:pPr>
        <w:spacing w:line="640" w:lineRule="exact"/>
        <w:ind w:firstLine="600" w:firstLineChars="200"/>
        <w:rPr>
          <w:rFonts w:ascii="华文仿宋" w:hAnsi="华文仿宋" w:eastAsia="华文仿宋" w:cs="仿宋"/>
          <w:color w:val="000000"/>
          <w:sz w:val="30"/>
          <w:szCs w:val="30"/>
        </w:rPr>
      </w:pPr>
      <w:r>
        <w:rPr>
          <w:rFonts w:ascii="华文仿宋" w:hAnsi="华文仿宋" w:eastAsia="华文仿宋" w:cs="仿宋"/>
          <w:color w:val="000000"/>
          <w:sz w:val="30"/>
          <w:szCs w:val="30"/>
        </w:rPr>
        <w:t>2020</w:t>
      </w:r>
      <w:r>
        <w:rPr>
          <w:rFonts w:hint="eastAsia" w:ascii="华文仿宋" w:hAnsi="华文仿宋" w:eastAsia="华文仿宋" w:cs="仿宋"/>
          <w:color w:val="000000"/>
          <w:sz w:val="30"/>
          <w:szCs w:val="30"/>
        </w:rPr>
        <w:t>年度政府性基金预算财政拨款支出年初预算为0万元，支出决算为</w:t>
      </w:r>
      <w:r>
        <w:rPr>
          <w:rFonts w:ascii="华文仿宋" w:hAnsi="华文仿宋" w:eastAsia="华文仿宋" w:cs="仿宋"/>
          <w:color w:val="000000"/>
          <w:sz w:val="30"/>
          <w:szCs w:val="30"/>
        </w:rPr>
        <w:t>164.8</w:t>
      </w:r>
      <w:r>
        <w:rPr>
          <w:rFonts w:hint="eastAsia" w:ascii="华文仿宋" w:hAnsi="华文仿宋" w:eastAsia="华文仿宋" w:cs="仿宋"/>
          <w:color w:val="000000"/>
          <w:sz w:val="30"/>
          <w:szCs w:val="30"/>
        </w:rPr>
        <w:t>万元</w:t>
      </w:r>
      <w:r>
        <w:rPr>
          <w:rFonts w:ascii="华文仿宋" w:hAnsi="华文仿宋" w:eastAsia="华文仿宋" w:cs="仿宋"/>
          <w:color w:val="000000"/>
          <w:sz w:val="30"/>
          <w:szCs w:val="30"/>
        </w:rPr>
        <w:t>,</w:t>
      </w:r>
      <w:r>
        <w:rPr>
          <w:rFonts w:hint="eastAsia" w:ascii="华文仿宋" w:hAnsi="华文仿宋" w:eastAsia="华文仿宋" w:cs="仿宋"/>
          <w:color w:val="000000"/>
          <w:sz w:val="30"/>
          <w:szCs w:val="30"/>
        </w:rPr>
        <w:t>主要原因是2020年度追加政策扶持-品牌创建经费30.5万元，政策扶持-生态工业经费134.3万元。其中：</w:t>
      </w:r>
    </w:p>
    <w:p>
      <w:pPr>
        <w:keepNext w:val="0"/>
        <w:keepLines w:val="0"/>
        <w:pageBreakBefore w:val="0"/>
        <w:kinsoku/>
        <w:wordWrap/>
        <w:overflowPunct/>
        <w:topLinePunct w:val="0"/>
        <w:bidi w:val="0"/>
        <w:snapToGrid/>
        <w:spacing w:line="640" w:lineRule="exact"/>
        <w:ind w:firstLine="600" w:firstLineChars="200"/>
        <w:textAlignment w:val="auto"/>
        <w:rPr>
          <w:rFonts w:ascii="华文仿宋" w:hAnsi="华文仿宋" w:eastAsia="华文仿宋" w:cs="仿宋"/>
          <w:color w:val="000000"/>
          <w:sz w:val="30"/>
          <w:szCs w:val="30"/>
        </w:rPr>
      </w:pPr>
      <w:r>
        <w:rPr>
          <w:rFonts w:hint="eastAsia" w:ascii="华文仿宋" w:hAnsi="华文仿宋" w:eastAsia="华文仿宋" w:cs="仿宋"/>
          <w:color w:val="000000"/>
          <w:sz w:val="30"/>
          <w:szCs w:val="30"/>
        </w:rPr>
        <w:t>其他支出（类）其他政府性基金及对应专项债务收入安排的支出（款）其他政府性基金安排的支出（项）。年初预算为0万元，支出决算为164.8万元，决算数大于预算数的主要原因2020年度追加政策扶持-品牌创建经费30.5万元，政策扶持-生态工业经费134.3万元。</w:t>
      </w:r>
    </w:p>
    <w:p>
      <w:pPr>
        <w:pStyle w:val="23"/>
        <w:keepNext w:val="0"/>
        <w:keepLines w:val="0"/>
        <w:pageBreakBefore w:val="0"/>
        <w:kinsoku/>
        <w:wordWrap/>
        <w:overflowPunct/>
        <w:topLinePunct w:val="0"/>
        <w:bidi w:val="0"/>
        <w:snapToGrid/>
        <w:ind w:firstLine="601" w:firstLineChars="200"/>
        <w:textAlignment w:val="auto"/>
        <w:outlineLvl w:val="1"/>
        <w:rPr>
          <w:highlight w:val="white"/>
        </w:rPr>
      </w:pPr>
      <w:bookmarkStart w:id="13" w:name="_Toc6873"/>
      <w:r>
        <w:rPr>
          <w:rFonts w:hint="eastAsia"/>
          <w:highlight w:val="white"/>
        </w:rPr>
        <w:t>（八）国有资本经营预算财政拨款支出决算总体情况说明</w:t>
      </w:r>
      <w:bookmarkEnd w:id="13"/>
    </w:p>
    <w:p>
      <w:pPr>
        <w:keepNext w:val="0"/>
        <w:keepLines w:val="0"/>
        <w:pageBreakBefore w:val="0"/>
        <w:kinsoku/>
        <w:wordWrap/>
        <w:overflowPunct/>
        <w:topLinePunct w:val="0"/>
        <w:autoSpaceDE w:val="0"/>
        <w:autoSpaceDN w:val="0"/>
        <w:bidi w:val="0"/>
        <w:adjustRightInd w:val="0"/>
        <w:snapToGrid/>
        <w:spacing w:line="324" w:lineRule="auto"/>
        <w:ind w:firstLine="600" w:firstLineChars="200"/>
        <w:textAlignment w:val="auto"/>
        <w:rPr>
          <w:rFonts w:ascii="华文仿宋" w:hAnsi="华文仿宋" w:eastAsia="华文仿宋" w:cs="仿宋"/>
          <w:b/>
          <w:bCs/>
          <w:color w:val="000000"/>
          <w:sz w:val="30"/>
          <w:szCs w:val="30"/>
          <w:highlight w:val="white"/>
        </w:rPr>
      </w:pPr>
      <w:r>
        <w:rPr>
          <w:rFonts w:hint="eastAsia" w:ascii="华文仿宋" w:hAnsi="华文仿宋" w:eastAsia="华文仿宋" w:cs="仿宋"/>
          <w:color w:val="000000"/>
          <w:sz w:val="30"/>
          <w:szCs w:val="30"/>
          <w:highlight w:val="white"/>
        </w:rPr>
        <w:t>本部门</w:t>
      </w:r>
      <w:r>
        <w:rPr>
          <w:rFonts w:ascii="华文仿宋" w:hAnsi="华文仿宋" w:eastAsia="华文仿宋" w:cs="仿宋"/>
          <w:color w:val="000000"/>
          <w:sz w:val="30"/>
          <w:szCs w:val="30"/>
          <w:highlight w:val="white"/>
        </w:rPr>
        <w:t>2020</w:t>
      </w:r>
      <w:r>
        <w:rPr>
          <w:rFonts w:hint="eastAsia" w:ascii="华文仿宋" w:hAnsi="华文仿宋" w:eastAsia="华文仿宋" w:cs="仿宋"/>
          <w:color w:val="000000"/>
          <w:sz w:val="30"/>
          <w:szCs w:val="30"/>
          <w:highlight w:val="white"/>
        </w:rPr>
        <w:t>年度无国有资本经营预算财政拨款收支安排，故无相关数据。</w:t>
      </w:r>
      <w:r>
        <w:rPr>
          <w:rFonts w:ascii="华文仿宋" w:hAnsi="华文仿宋" w:eastAsia="华文仿宋" w:cs="仿宋"/>
          <w:b/>
          <w:bCs/>
          <w:color w:val="000000"/>
          <w:sz w:val="30"/>
          <w:szCs w:val="30"/>
          <w:highlight w:val="white"/>
        </w:rPr>
        <w:t xml:space="preserve"> </w:t>
      </w:r>
    </w:p>
    <w:p>
      <w:pPr>
        <w:pStyle w:val="23"/>
        <w:keepNext w:val="0"/>
        <w:keepLines w:val="0"/>
        <w:pageBreakBefore w:val="0"/>
        <w:kinsoku/>
        <w:wordWrap/>
        <w:overflowPunct/>
        <w:topLinePunct w:val="0"/>
        <w:bidi w:val="0"/>
        <w:snapToGrid/>
        <w:ind w:firstLine="601" w:firstLineChars="200"/>
        <w:textAlignment w:val="auto"/>
        <w:outlineLvl w:val="1"/>
        <w:rPr>
          <w:highlight w:val="white"/>
        </w:rPr>
      </w:pPr>
      <w:bookmarkStart w:id="14" w:name="_Toc9592"/>
      <w:r>
        <w:rPr>
          <w:rFonts w:hint="eastAsia"/>
          <w:highlight w:val="white"/>
        </w:rPr>
        <w:t>（九）一般公共预算财政拨款</w:t>
      </w:r>
      <w:r>
        <w:rPr>
          <w:highlight w:val="white"/>
        </w:rPr>
        <w:t>“</w:t>
      </w:r>
      <w:r>
        <w:rPr>
          <w:rFonts w:hint="eastAsia"/>
          <w:highlight w:val="white"/>
        </w:rPr>
        <w:t>三公</w:t>
      </w:r>
      <w:r>
        <w:rPr>
          <w:highlight w:val="white"/>
        </w:rPr>
        <w:t>”</w:t>
      </w:r>
      <w:r>
        <w:rPr>
          <w:rFonts w:hint="eastAsia"/>
          <w:highlight w:val="white"/>
        </w:rPr>
        <w:t>经费支出决算情况说明</w:t>
      </w:r>
      <w:bookmarkEnd w:id="14"/>
    </w:p>
    <w:p>
      <w:pPr>
        <w:keepNext w:val="0"/>
        <w:keepLines w:val="0"/>
        <w:pageBreakBefore w:val="0"/>
        <w:kinsoku/>
        <w:wordWrap/>
        <w:overflowPunct/>
        <w:topLinePunct w:val="0"/>
        <w:autoSpaceDE w:val="0"/>
        <w:autoSpaceDN w:val="0"/>
        <w:bidi w:val="0"/>
        <w:adjustRightInd w:val="0"/>
        <w:snapToGrid/>
        <w:spacing w:line="324" w:lineRule="auto"/>
        <w:ind w:firstLine="601" w:firstLineChars="200"/>
        <w:textAlignment w:val="auto"/>
        <w:rPr>
          <w:rFonts w:ascii="华文仿宋" w:hAnsi="华文仿宋" w:eastAsia="华文仿宋" w:cs="仿宋"/>
          <w:b/>
          <w:bCs/>
          <w:color w:val="000000"/>
          <w:sz w:val="30"/>
          <w:szCs w:val="30"/>
          <w:highlight w:val="white"/>
        </w:rPr>
      </w:pPr>
      <w:r>
        <w:rPr>
          <w:rFonts w:ascii="华文仿宋" w:hAnsi="华文仿宋" w:eastAsia="华文仿宋" w:cs="仿宋"/>
          <w:b/>
          <w:bCs/>
          <w:color w:val="000000"/>
          <w:sz w:val="30"/>
          <w:szCs w:val="30"/>
          <w:highlight w:val="white"/>
        </w:rPr>
        <w:t>1.“</w:t>
      </w:r>
      <w:r>
        <w:rPr>
          <w:rFonts w:hint="eastAsia" w:ascii="华文仿宋" w:hAnsi="华文仿宋" w:eastAsia="华文仿宋" w:cs="仿宋"/>
          <w:b/>
          <w:bCs/>
          <w:color w:val="000000"/>
          <w:sz w:val="30"/>
          <w:szCs w:val="30"/>
          <w:highlight w:val="white"/>
        </w:rPr>
        <w:t>三公</w:t>
      </w:r>
      <w:r>
        <w:rPr>
          <w:rFonts w:ascii="华文仿宋" w:hAnsi="华文仿宋" w:eastAsia="华文仿宋" w:cs="仿宋"/>
          <w:b/>
          <w:bCs/>
          <w:color w:val="000000"/>
          <w:sz w:val="30"/>
          <w:szCs w:val="30"/>
          <w:highlight w:val="white"/>
        </w:rPr>
        <w:t>”</w:t>
      </w:r>
      <w:r>
        <w:rPr>
          <w:rFonts w:hint="eastAsia" w:ascii="华文仿宋" w:hAnsi="华文仿宋" w:eastAsia="华文仿宋" w:cs="仿宋"/>
          <w:b/>
          <w:bCs/>
          <w:color w:val="000000"/>
          <w:sz w:val="30"/>
          <w:szCs w:val="30"/>
          <w:highlight w:val="white"/>
        </w:rPr>
        <w:t>经费一般公共预算财政拨款支出决算总体情况说明。</w:t>
      </w:r>
      <w:r>
        <w:rPr>
          <w:rFonts w:ascii="华文仿宋" w:hAnsi="华文仿宋" w:eastAsia="华文仿宋" w:cs="仿宋"/>
          <w:b/>
          <w:bCs/>
          <w:color w:val="000000"/>
          <w:sz w:val="30"/>
          <w:szCs w:val="30"/>
          <w:highlight w:val="white"/>
        </w:rPr>
        <w:t xml:space="preserve"> </w:t>
      </w:r>
    </w:p>
    <w:p>
      <w:pPr>
        <w:keepNext w:val="0"/>
        <w:keepLines w:val="0"/>
        <w:pageBreakBefore w:val="0"/>
        <w:kinsoku/>
        <w:wordWrap/>
        <w:overflowPunct/>
        <w:topLinePunct w:val="0"/>
        <w:autoSpaceDE w:val="0"/>
        <w:autoSpaceDN w:val="0"/>
        <w:bidi w:val="0"/>
        <w:adjustRightInd w:val="0"/>
        <w:snapToGrid/>
        <w:spacing w:line="324" w:lineRule="auto"/>
        <w:ind w:firstLine="600" w:firstLineChars="200"/>
        <w:textAlignment w:val="auto"/>
        <w:rPr>
          <w:rFonts w:ascii="华文仿宋" w:hAnsi="华文仿宋" w:eastAsia="华文仿宋" w:cs="仿宋"/>
          <w:color w:val="000000"/>
          <w:sz w:val="30"/>
          <w:szCs w:val="30"/>
          <w:highlight w:val="white"/>
        </w:rPr>
      </w:pPr>
      <w:r>
        <w:rPr>
          <w:rFonts w:ascii="华文仿宋" w:hAnsi="华文仿宋" w:eastAsia="华文仿宋" w:cs="仿宋"/>
          <w:color w:val="000000"/>
          <w:sz w:val="30"/>
          <w:szCs w:val="30"/>
          <w:highlight w:val="white"/>
        </w:rPr>
        <w:t>2020</w:t>
      </w:r>
      <w:r>
        <w:rPr>
          <w:rFonts w:hint="eastAsia" w:ascii="华文仿宋" w:hAnsi="华文仿宋" w:eastAsia="华文仿宋" w:cs="仿宋"/>
          <w:color w:val="000000"/>
          <w:sz w:val="30"/>
          <w:szCs w:val="30"/>
          <w:highlight w:val="white"/>
        </w:rPr>
        <w:t>年度</w:t>
      </w:r>
      <w:r>
        <w:rPr>
          <w:rFonts w:ascii="华文仿宋" w:hAnsi="华文仿宋" w:eastAsia="华文仿宋" w:cs="仿宋"/>
          <w:color w:val="000000"/>
          <w:sz w:val="30"/>
          <w:szCs w:val="30"/>
          <w:highlight w:val="white"/>
        </w:rPr>
        <w:t>“</w:t>
      </w:r>
      <w:r>
        <w:rPr>
          <w:rFonts w:hint="eastAsia" w:ascii="华文仿宋" w:hAnsi="华文仿宋" w:eastAsia="华文仿宋" w:cs="仿宋"/>
          <w:color w:val="000000"/>
          <w:sz w:val="30"/>
          <w:szCs w:val="30"/>
          <w:highlight w:val="white"/>
        </w:rPr>
        <w:t>三公</w:t>
      </w:r>
      <w:r>
        <w:rPr>
          <w:rFonts w:ascii="华文仿宋" w:hAnsi="华文仿宋" w:eastAsia="华文仿宋" w:cs="仿宋"/>
          <w:color w:val="000000"/>
          <w:sz w:val="30"/>
          <w:szCs w:val="30"/>
          <w:highlight w:val="white"/>
        </w:rPr>
        <w:t>”</w:t>
      </w:r>
      <w:r>
        <w:rPr>
          <w:rFonts w:hint="eastAsia" w:ascii="华文仿宋" w:hAnsi="华文仿宋" w:eastAsia="华文仿宋" w:cs="仿宋"/>
          <w:color w:val="000000"/>
          <w:sz w:val="30"/>
          <w:szCs w:val="30"/>
          <w:highlight w:val="white"/>
        </w:rPr>
        <w:t>经费一般公共预算财政拨款支出预算为21.87万元，支出决算为</w:t>
      </w:r>
      <w:r>
        <w:rPr>
          <w:rFonts w:ascii="华文仿宋" w:hAnsi="华文仿宋" w:eastAsia="华文仿宋" w:cs="仿宋"/>
          <w:color w:val="000000"/>
          <w:sz w:val="30"/>
          <w:szCs w:val="30"/>
          <w:highlight w:val="white"/>
        </w:rPr>
        <w:t>16.68</w:t>
      </w:r>
      <w:r>
        <w:rPr>
          <w:rFonts w:hint="eastAsia" w:ascii="华文仿宋" w:hAnsi="华文仿宋" w:eastAsia="华文仿宋" w:cs="仿宋"/>
          <w:color w:val="000000"/>
          <w:sz w:val="30"/>
          <w:szCs w:val="30"/>
          <w:highlight w:val="white"/>
        </w:rPr>
        <w:t>万元，完成预算的76.27</w:t>
      </w:r>
      <w:r>
        <w:rPr>
          <w:rFonts w:ascii="华文仿宋" w:hAnsi="华文仿宋" w:eastAsia="华文仿宋" w:cs="仿宋"/>
          <w:color w:val="000000"/>
          <w:sz w:val="30"/>
          <w:szCs w:val="30"/>
          <w:highlight w:val="white"/>
        </w:rPr>
        <w:t>%</w:t>
      </w:r>
      <w:r>
        <w:rPr>
          <w:rFonts w:hint="eastAsia" w:ascii="华文仿宋" w:hAnsi="华文仿宋" w:eastAsia="华文仿宋" w:cs="仿宋"/>
          <w:color w:val="000000"/>
          <w:sz w:val="30"/>
          <w:szCs w:val="30"/>
          <w:highlight w:val="white"/>
        </w:rPr>
        <w:t>，</w:t>
      </w:r>
      <w:r>
        <w:rPr>
          <w:rFonts w:ascii="华文仿宋" w:hAnsi="华文仿宋" w:eastAsia="华文仿宋" w:cs="仿宋"/>
          <w:color w:val="000000"/>
          <w:sz w:val="30"/>
          <w:szCs w:val="30"/>
          <w:highlight w:val="white"/>
        </w:rPr>
        <w:t>2020</w:t>
      </w:r>
      <w:r>
        <w:rPr>
          <w:rFonts w:hint="eastAsia" w:ascii="华文仿宋" w:hAnsi="华文仿宋" w:eastAsia="华文仿宋" w:cs="仿宋"/>
          <w:color w:val="000000"/>
          <w:sz w:val="30"/>
          <w:szCs w:val="30"/>
          <w:highlight w:val="white"/>
        </w:rPr>
        <w:t>年度</w:t>
      </w:r>
      <w:r>
        <w:rPr>
          <w:rFonts w:ascii="华文仿宋" w:hAnsi="华文仿宋" w:eastAsia="华文仿宋" w:cs="仿宋"/>
          <w:color w:val="000000"/>
          <w:sz w:val="30"/>
          <w:szCs w:val="30"/>
          <w:highlight w:val="white"/>
        </w:rPr>
        <w:t>“</w:t>
      </w:r>
      <w:r>
        <w:rPr>
          <w:rFonts w:hint="eastAsia" w:ascii="华文仿宋" w:hAnsi="华文仿宋" w:eastAsia="华文仿宋" w:cs="仿宋"/>
          <w:color w:val="000000"/>
          <w:sz w:val="30"/>
          <w:szCs w:val="30"/>
          <w:highlight w:val="white"/>
        </w:rPr>
        <w:t>三公</w:t>
      </w:r>
      <w:r>
        <w:rPr>
          <w:rFonts w:ascii="华文仿宋" w:hAnsi="华文仿宋" w:eastAsia="华文仿宋" w:cs="仿宋"/>
          <w:color w:val="000000"/>
          <w:sz w:val="30"/>
          <w:szCs w:val="30"/>
          <w:highlight w:val="white"/>
        </w:rPr>
        <w:t>”</w:t>
      </w:r>
      <w:r>
        <w:rPr>
          <w:rFonts w:hint="eastAsia" w:ascii="华文仿宋" w:hAnsi="华文仿宋" w:eastAsia="华文仿宋" w:cs="仿宋"/>
          <w:color w:val="000000"/>
          <w:sz w:val="30"/>
          <w:szCs w:val="30"/>
          <w:highlight w:val="white"/>
        </w:rPr>
        <w:t>经费支出决算数小于预算数的主要原因是我局严格执行省市县三公经费相关文件规定，缩减三公经费支出。</w:t>
      </w:r>
    </w:p>
    <w:p>
      <w:pPr>
        <w:keepNext w:val="0"/>
        <w:keepLines w:val="0"/>
        <w:pageBreakBefore w:val="0"/>
        <w:kinsoku/>
        <w:wordWrap/>
        <w:overflowPunct/>
        <w:topLinePunct w:val="0"/>
        <w:autoSpaceDE w:val="0"/>
        <w:autoSpaceDN w:val="0"/>
        <w:bidi w:val="0"/>
        <w:adjustRightInd w:val="0"/>
        <w:snapToGrid/>
        <w:spacing w:line="324" w:lineRule="auto"/>
        <w:ind w:firstLine="601" w:firstLineChars="200"/>
        <w:textAlignment w:val="auto"/>
        <w:rPr>
          <w:rFonts w:ascii="华文仿宋" w:hAnsi="华文仿宋" w:eastAsia="华文仿宋" w:cs="仿宋"/>
          <w:b/>
          <w:bCs/>
          <w:color w:val="000000"/>
          <w:sz w:val="30"/>
          <w:szCs w:val="30"/>
          <w:highlight w:val="white"/>
        </w:rPr>
      </w:pPr>
      <w:r>
        <w:rPr>
          <w:rFonts w:ascii="华文仿宋" w:hAnsi="华文仿宋" w:eastAsia="华文仿宋" w:cs="仿宋"/>
          <w:b/>
          <w:bCs/>
          <w:color w:val="000000"/>
          <w:sz w:val="30"/>
          <w:szCs w:val="30"/>
          <w:highlight w:val="white"/>
        </w:rPr>
        <w:t>2.“</w:t>
      </w:r>
      <w:r>
        <w:rPr>
          <w:rFonts w:hint="eastAsia" w:ascii="华文仿宋" w:hAnsi="华文仿宋" w:eastAsia="华文仿宋" w:cs="仿宋"/>
          <w:b/>
          <w:bCs/>
          <w:color w:val="000000"/>
          <w:sz w:val="30"/>
          <w:szCs w:val="30"/>
          <w:highlight w:val="white"/>
        </w:rPr>
        <w:t>三公</w:t>
      </w:r>
      <w:r>
        <w:rPr>
          <w:rFonts w:ascii="华文仿宋" w:hAnsi="华文仿宋" w:eastAsia="华文仿宋" w:cs="仿宋"/>
          <w:b/>
          <w:bCs/>
          <w:color w:val="000000"/>
          <w:sz w:val="30"/>
          <w:szCs w:val="30"/>
          <w:highlight w:val="white"/>
        </w:rPr>
        <w:t>”</w:t>
      </w:r>
      <w:r>
        <w:rPr>
          <w:rFonts w:hint="eastAsia" w:ascii="华文仿宋" w:hAnsi="华文仿宋" w:eastAsia="华文仿宋" w:cs="仿宋"/>
          <w:b/>
          <w:bCs/>
          <w:color w:val="000000"/>
          <w:sz w:val="30"/>
          <w:szCs w:val="30"/>
          <w:highlight w:val="white"/>
        </w:rPr>
        <w:t>经费一般公共预算财政拨款支出决算具体情况说明。</w:t>
      </w:r>
    </w:p>
    <w:p>
      <w:pPr>
        <w:autoSpaceDE w:val="0"/>
        <w:autoSpaceDN w:val="0"/>
        <w:adjustRightInd w:val="0"/>
        <w:spacing w:line="324" w:lineRule="auto"/>
        <w:ind w:firstLine="600" w:firstLineChars="200"/>
        <w:rPr>
          <w:rFonts w:ascii="华文仿宋" w:hAnsi="华文仿宋" w:eastAsia="华文仿宋" w:cs="仿宋"/>
          <w:color w:val="000000"/>
          <w:sz w:val="30"/>
          <w:szCs w:val="30"/>
          <w:highlight w:val="white"/>
        </w:rPr>
      </w:pPr>
      <w:r>
        <w:rPr>
          <w:rFonts w:ascii="华文仿宋" w:hAnsi="华文仿宋" w:eastAsia="华文仿宋" w:cs="仿宋"/>
          <w:color w:val="000000"/>
          <w:sz w:val="30"/>
          <w:szCs w:val="30"/>
          <w:highlight w:val="white"/>
        </w:rPr>
        <w:t>2020</w:t>
      </w:r>
      <w:r>
        <w:rPr>
          <w:rFonts w:hint="eastAsia" w:ascii="华文仿宋" w:hAnsi="华文仿宋" w:eastAsia="华文仿宋" w:cs="仿宋"/>
          <w:color w:val="000000"/>
          <w:sz w:val="30"/>
          <w:szCs w:val="30"/>
          <w:highlight w:val="white"/>
        </w:rPr>
        <w:t>年度</w:t>
      </w:r>
      <w:r>
        <w:rPr>
          <w:rFonts w:ascii="华文仿宋" w:hAnsi="华文仿宋" w:eastAsia="华文仿宋" w:cs="仿宋"/>
          <w:color w:val="000000"/>
          <w:sz w:val="30"/>
          <w:szCs w:val="30"/>
          <w:highlight w:val="white"/>
        </w:rPr>
        <w:t>“</w:t>
      </w:r>
      <w:r>
        <w:rPr>
          <w:rFonts w:hint="eastAsia" w:ascii="华文仿宋" w:hAnsi="华文仿宋" w:eastAsia="华文仿宋" w:cs="仿宋"/>
          <w:color w:val="000000"/>
          <w:sz w:val="30"/>
          <w:szCs w:val="30"/>
          <w:highlight w:val="white"/>
        </w:rPr>
        <w:t>三公</w:t>
      </w:r>
      <w:r>
        <w:rPr>
          <w:rFonts w:ascii="华文仿宋" w:hAnsi="华文仿宋" w:eastAsia="华文仿宋" w:cs="仿宋"/>
          <w:color w:val="000000"/>
          <w:sz w:val="30"/>
          <w:szCs w:val="30"/>
          <w:highlight w:val="white"/>
        </w:rPr>
        <w:t>”</w:t>
      </w:r>
      <w:r>
        <w:rPr>
          <w:rFonts w:hint="eastAsia" w:ascii="华文仿宋" w:hAnsi="华文仿宋" w:eastAsia="华文仿宋" w:cs="仿宋"/>
          <w:color w:val="000000"/>
          <w:sz w:val="30"/>
          <w:szCs w:val="30"/>
          <w:highlight w:val="white"/>
        </w:rPr>
        <w:t>经费一般公共预算财政拨款支出决算中，因公出国（境）费用支出决算为</w:t>
      </w:r>
      <w:r>
        <w:rPr>
          <w:rFonts w:ascii="华文仿宋" w:hAnsi="华文仿宋" w:eastAsia="华文仿宋" w:cs="仿宋"/>
          <w:color w:val="000000"/>
          <w:sz w:val="30"/>
          <w:szCs w:val="30"/>
          <w:highlight w:val="white"/>
        </w:rPr>
        <w:t>0</w:t>
      </w:r>
      <w:r>
        <w:rPr>
          <w:rFonts w:hint="eastAsia" w:ascii="华文仿宋" w:hAnsi="华文仿宋" w:eastAsia="华文仿宋" w:cs="仿宋"/>
          <w:color w:val="000000"/>
          <w:sz w:val="30"/>
          <w:szCs w:val="30"/>
          <w:highlight w:val="white"/>
        </w:rPr>
        <w:t>万元，占</w:t>
      </w:r>
      <w:r>
        <w:rPr>
          <w:rFonts w:ascii="华文仿宋" w:hAnsi="华文仿宋" w:eastAsia="华文仿宋" w:cs="仿宋"/>
          <w:color w:val="000000"/>
          <w:sz w:val="30"/>
          <w:szCs w:val="30"/>
          <w:highlight w:val="white"/>
        </w:rPr>
        <w:t>0%</w:t>
      </w:r>
      <w:r>
        <w:rPr>
          <w:rFonts w:hint="eastAsia" w:ascii="华文仿宋" w:hAnsi="华文仿宋" w:eastAsia="华文仿宋" w:cs="仿宋"/>
          <w:color w:val="000000"/>
          <w:sz w:val="30"/>
          <w:szCs w:val="30"/>
          <w:highlight w:val="white"/>
        </w:rPr>
        <w:t>，与</w:t>
      </w:r>
      <w:r>
        <w:rPr>
          <w:rFonts w:ascii="华文仿宋" w:hAnsi="华文仿宋" w:eastAsia="华文仿宋" w:cs="仿宋"/>
          <w:color w:val="000000"/>
          <w:sz w:val="30"/>
          <w:szCs w:val="30"/>
          <w:highlight w:val="white"/>
        </w:rPr>
        <w:t>2019</w:t>
      </w:r>
      <w:r>
        <w:rPr>
          <w:rFonts w:hint="eastAsia" w:ascii="华文仿宋" w:hAnsi="华文仿宋" w:eastAsia="华文仿宋" w:cs="仿宋"/>
          <w:color w:val="000000"/>
          <w:sz w:val="30"/>
          <w:szCs w:val="30"/>
          <w:highlight w:val="white"/>
        </w:rPr>
        <w:t>年度持平，主要原因是实际工作未涉及出国事项，也无外事部门或上级部门安排的因公出国事项；公务用车购置及运行维护费支出决算为</w:t>
      </w:r>
      <w:r>
        <w:rPr>
          <w:rFonts w:ascii="华文仿宋" w:hAnsi="华文仿宋" w:eastAsia="华文仿宋" w:cs="仿宋"/>
          <w:color w:val="000000"/>
          <w:sz w:val="30"/>
          <w:szCs w:val="30"/>
          <w:highlight w:val="white"/>
        </w:rPr>
        <w:t>9.08</w:t>
      </w:r>
      <w:r>
        <w:rPr>
          <w:rFonts w:hint="eastAsia" w:ascii="华文仿宋" w:hAnsi="华文仿宋" w:eastAsia="华文仿宋" w:cs="仿宋"/>
          <w:color w:val="000000"/>
          <w:sz w:val="30"/>
          <w:szCs w:val="30"/>
          <w:highlight w:val="white"/>
        </w:rPr>
        <w:t>万元，占</w:t>
      </w:r>
      <w:r>
        <w:rPr>
          <w:rFonts w:ascii="华文仿宋" w:hAnsi="华文仿宋" w:eastAsia="华文仿宋" w:cs="仿宋"/>
          <w:color w:val="000000"/>
          <w:sz w:val="30"/>
          <w:szCs w:val="30"/>
          <w:highlight w:val="white"/>
        </w:rPr>
        <w:t>54.44%</w:t>
      </w:r>
      <w:r>
        <w:rPr>
          <w:rFonts w:hint="eastAsia" w:ascii="华文仿宋" w:hAnsi="华文仿宋" w:eastAsia="华文仿宋" w:cs="仿宋"/>
          <w:color w:val="000000"/>
          <w:sz w:val="30"/>
          <w:szCs w:val="30"/>
          <w:highlight w:val="white"/>
        </w:rPr>
        <w:t>，与</w:t>
      </w:r>
      <w:r>
        <w:rPr>
          <w:rFonts w:ascii="华文仿宋" w:hAnsi="华文仿宋" w:eastAsia="华文仿宋" w:cs="仿宋"/>
          <w:color w:val="000000"/>
          <w:sz w:val="30"/>
          <w:szCs w:val="30"/>
          <w:highlight w:val="white"/>
        </w:rPr>
        <w:t>2019</w:t>
      </w:r>
      <w:r>
        <w:rPr>
          <w:rFonts w:hint="eastAsia" w:ascii="华文仿宋" w:hAnsi="华文仿宋" w:eastAsia="华文仿宋" w:cs="仿宋"/>
          <w:color w:val="000000"/>
          <w:sz w:val="30"/>
          <w:szCs w:val="30"/>
          <w:highlight w:val="white"/>
        </w:rPr>
        <w:t>年度相比，减少2.69万元，下降22.85</w:t>
      </w:r>
      <w:r>
        <w:rPr>
          <w:rFonts w:ascii="华文仿宋" w:hAnsi="华文仿宋" w:eastAsia="华文仿宋" w:cs="仿宋"/>
          <w:color w:val="000000"/>
          <w:sz w:val="30"/>
          <w:szCs w:val="30"/>
          <w:highlight w:val="white"/>
        </w:rPr>
        <w:t>%</w:t>
      </w:r>
      <w:r>
        <w:rPr>
          <w:rFonts w:hint="eastAsia" w:ascii="华文仿宋" w:hAnsi="华文仿宋" w:eastAsia="华文仿宋" w:cs="仿宋"/>
          <w:color w:val="000000"/>
          <w:sz w:val="30"/>
          <w:szCs w:val="30"/>
          <w:highlight w:val="white"/>
        </w:rPr>
        <w:t>，主要原因是严格遵守单位车辆管理制度；公务接待费支出决算为</w:t>
      </w:r>
      <w:r>
        <w:rPr>
          <w:rFonts w:ascii="华文仿宋" w:hAnsi="华文仿宋" w:eastAsia="华文仿宋" w:cs="仿宋"/>
          <w:color w:val="000000"/>
          <w:sz w:val="30"/>
          <w:szCs w:val="30"/>
          <w:highlight w:val="white"/>
        </w:rPr>
        <w:t>7.6</w:t>
      </w:r>
      <w:r>
        <w:rPr>
          <w:rFonts w:hint="eastAsia" w:ascii="华文仿宋" w:hAnsi="华文仿宋" w:eastAsia="华文仿宋" w:cs="仿宋"/>
          <w:color w:val="000000"/>
          <w:sz w:val="30"/>
          <w:szCs w:val="30"/>
          <w:highlight w:val="white"/>
        </w:rPr>
        <w:t>万元，占</w:t>
      </w:r>
      <w:r>
        <w:rPr>
          <w:rFonts w:ascii="华文仿宋" w:hAnsi="华文仿宋" w:eastAsia="华文仿宋" w:cs="仿宋"/>
          <w:color w:val="000000"/>
          <w:sz w:val="30"/>
          <w:szCs w:val="30"/>
          <w:highlight w:val="white"/>
        </w:rPr>
        <w:t>45.56%</w:t>
      </w:r>
      <w:r>
        <w:rPr>
          <w:rFonts w:hint="eastAsia" w:ascii="华文仿宋" w:hAnsi="华文仿宋" w:eastAsia="华文仿宋" w:cs="仿宋"/>
          <w:color w:val="000000"/>
          <w:sz w:val="30"/>
          <w:szCs w:val="30"/>
          <w:highlight w:val="white"/>
        </w:rPr>
        <w:t>，与</w:t>
      </w:r>
      <w:r>
        <w:rPr>
          <w:rFonts w:ascii="华文仿宋" w:hAnsi="华文仿宋" w:eastAsia="华文仿宋" w:cs="仿宋"/>
          <w:color w:val="000000"/>
          <w:sz w:val="30"/>
          <w:szCs w:val="30"/>
          <w:highlight w:val="white"/>
        </w:rPr>
        <w:t>2019</w:t>
      </w:r>
      <w:r>
        <w:rPr>
          <w:rFonts w:hint="eastAsia" w:ascii="华文仿宋" w:hAnsi="华文仿宋" w:eastAsia="华文仿宋" w:cs="仿宋"/>
          <w:color w:val="000000"/>
          <w:sz w:val="30"/>
          <w:szCs w:val="30"/>
          <w:highlight w:val="white"/>
        </w:rPr>
        <w:t>年度相比，减少0.4万元，下降5</w:t>
      </w:r>
      <w:r>
        <w:rPr>
          <w:rFonts w:ascii="华文仿宋" w:hAnsi="华文仿宋" w:eastAsia="华文仿宋" w:cs="仿宋"/>
          <w:color w:val="000000"/>
          <w:sz w:val="30"/>
          <w:szCs w:val="30"/>
          <w:highlight w:val="white"/>
        </w:rPr>
        <w:t>%</w:t>
      </w:r>
      <w:r>
        <w:rPr>
          <w:rFonts w:hint="eastAsia" w:ascii="华文仿宋" w:hAnsi="华文仿宋" w:eastAsia="华文仿宋" w:cs="仿宋"/>
          <w:color w:val="000000"/>
          <w:sz w:val="30"/>
          <w:szCs w:val="30"/>
          <w:highlight w:val="white"/>
        </w:rPr>
        <w:t>，主要原因是严格遵守接待费制度。具体情况如下：</w:t>
      </w:r>
    </w:p>
    <w:p>
      <w:pPr>
        <w:autoSpaceDE w:val="0"/>
        <w:autoSpaceDN w:val="0"/>
        <w:adjustRightInd w:val="0"/>
        <w:spacing w:line="324" w:lineRule="auto"/>
        <w:ind w:firstLine="601" w:firstLineChars="200"/>
        <w:rPr>
          <w:rFonts w:ascii="华文仿宋" w:hAnsi="华文仿宋" w:eastAsia="华文仿宋" w:cs="仿宋"/>
          <w:color w:val="000000"/>
          <w:sz w:val="30"/>
          <w:szCs w:val="30"/>
          <w:highlight w:val="white"/>
        </w:rPr>
      </w:pPr>
      <w:r>
        <w:rPr>
          <w:rFonts w:hint="eastAsia" w:ascii="华文仿宋" w:hAnsi="华文仿宋" w:eastAsia="华文仿宋" w:cs="仿宋"/>
          <w:b/>
          <w:bCs/>
          <w:color w:val="000000"/>
          <w:sz w:val="30"/>
          <w:szCs w:val="30"/>
          <w:highlight w:val="white"/>
        </w:rPr>
        <w:t>（</w:t>
      </w:r>
      <w:r>
        <w:rPr>
          <w:rFonts w:ascii="华文仿宋" w:hAnsi="华文仿宋" w:eastAsia="华文仿宋" w:cs="仿宋"/>
          <w:b/>
          <w:bCs/>
          <w:color w:val="000000"/>
          <w:sz w:val="30"/>
          <w:szCs w:val="30"/>
          <w:highlight w:val="white"/>
        </w:rPr>
        <w:t>1</w:t>
      </w:r>
      <w:r>
        <w:rPr>
          <w:rFonts w:hint="eastAsia" w:ascii="华文仿宋" w:hAnsi="华文仿宋" w:eastAsia="华文仿宋" w:cs="仿宋"/>
          <w:b/>
          <w:bCs/>
          <w:color w:val="000000"/>
          <w:sz w:val="30"/>
          <w:szCs w:val="30"/>
          <w:highlight w:val="white"/>
        </w:rPr>
        <w:t>）因公出国（境）费</w:t>
      </w:r>
      <w:r>
        <w:rPr>
          <w:rFonts w:hint="eastAsia" w:ascii="华文仿宋" w:hAnsi="华文仿宋" w:eastAsia="华文仿宋" w:cs="仿宋"/>
          <w:color w:val="000000"/>
          <w:sz w:val="30"/>
          <w:szCs w:val="30"/>
          <w:highlight w:val="white"/>
        </w:rPr>
        <w:t>预算数为0万元，支出决算为</w:t>
      </w:r>
      <w:r>
        <w:rPr>
          <w:rFonts w:ascii="华文仿宋" w:hAnsi="华文仿宋" w:eastAsia="华文仿宋" w:cs="仿宋"/>
          <w:sz w:val="30"/>
          <w:szCs w:val="30"/>
          <w:highlight w:val="white"/>
          <w:lang w:val="zh-CN"/>
        </w:rPr>
        <w:t>0</w:t>
      </w:r>
      <w:r>
        <w:rPr>
          <w:rFonts w:hint="eastAsia" w:ascii="华文仿宋" w:hAnsi="华文仿宋" w:eastAsia="华文仿宋" w:cs="仿宋"/>
          <w:color w:val="000000"/>
          <w:sz w:val="30"/>
          <w:szCs w:val="30"/>
          <w:highlight w:val="white"/>
        </w:rPr>
        <w:t>万元。主要用于机关及下属预算单位人员的公务出国（境）的住宿费、国际旅费、培训费、公杂费等支出。主要原因是2020年度我局实际工作未涉及出国事项，也无外事部门或上级部门安排的因公出国事项。</w:t>
      </w:r>
    </w:p>
    <w:p>
      <w:pPr>
        <w:autoSpaceDE w:val="0"/>
        <w:autoSpaceDN w:val="0"/>
        <w:adjustRightInd w:val="0"/>
        <w:spacing w:line="324" w:lineRule="auto"/>
        <w:ind w:firstLine="600" w:firstLineChars="200"/>
        <w:rPr>
          <w:rFonts w:ascii="华文仿宋" w:hAnsi="华文仿宋" w:eastAsia="华文仿宋" w:cs="仿宋"/>
          <w:color w:val="000000"/>
          <w:sz w:val="30"/>
          <w:szCs w:val="30"/>
          <w:highlight w:val="white"/>
        </w:rPr>
      </w:pPr>
      <w:r>
        <w:rPr>
          <w:rFonts w:hint="eastAsia" w:ascii="华文仿宋" w:hAnsi="华文仿宋" w:eastAsia="华文仿宋" w:cs="仿宋"/>
          <w:color w:val="000000"/>
          <w:sz w:val="30"/>
          <w:szCs w:val="30"/>
          <w:highlight w:val="white"/>
        </w:rPr>
        <w:t>其中，全年使用一般公共预算财政拨款本单位组织因公出国(境)团组0个；本单位全年因公出国(境)累计0人次。</w:t>
      </w:r>
    </w:p>
    <w:p>
      <w:pPr>
        <w:autoSpaceDE w:val="0"/>
        <w:autoSpaceDN w:val="0"/>
        <w:adjustRightInd w:val="0"/>
        <w:spacing w:line="324" w:lineRule="auto"/>
        <w:ind w:firstLine="601" w:firstLineChars="200"/>
        <w:rPr>
          <w:rFonts w:ascii="华文仿宋" w:hAnsi="华文仿宋" w:eastAsia="华文仿宋" w:cs="仿宋"/>
          <w:color w:val="000000"/>
          <w:sz w:val="30"/>
          <w:szCs w:val="30"/>
          <w:highlight w:val="white"/>
        </w:rPr>
      </w:pPr>
      <w:r>
        <w:rPr>
          <w:rFonts w:hint="eastAsia" w:ascii="华文仿宋" w:hAnsi="华文仿宋" w:eastAsia="华文仿宋" w:cs="仿宋"/>
          <w:b/>
          <w:bCs/>
          <w:color w:val="000000"/>
          <w:sz w:val="30"/>
          <w:szCs w:val="30"/>
          <w:highlight w:val="white"/>
        </w:rPr>
        <w:t>（</w:t>
      </w:r>
      <w:r>
        <w:rPr>
          <w:rFonts w:ascii="华文仿宋" w:hAnsi="华文仿宋" w:eastAsia="华文仿宋" w:cs="仿宋"/>
          <w:b/>
          <w:bCs/>
          <w:color w:val="000000"/>
          <w:sz w:val="30"/>
          <w:szCs w:val="30"/>
          <w:highlight w:val="white"/>
        </w:rPr>
        <w:t>2</w:t>
      </w:r>
      <w:r>
        <w:rPr>
          <w:rFonts w:hint="eastAsia" w:ascii="华文仿宋" w:hAnsi="华文仿宋" w:eastAsia="华文仿宋" w:cs="仿宋"/>
          <w:b/>
          <w:bCs/>
          <w:color w:val="000000"/>
          <w:sz w:val="30"/>
          <w:szCs w:val="30"/>
          <w:highlight w:val="white"/>
        </w:rPr>
        <w:t>）公务用车购置及运行维护费</w:t>
      </w:r>
      <w:r>
        <w:rPr>
          <w:rFonts w:hint="eastAsia" w:ascii="华文仿宋" w:hAnsi="华文仿宋" w:eastAsia="华文仿宋" w:cs="仿宋"/>
          <w:color w:val="000000"/>
          <w:sz w:val="30"/>
          <w:szCs w:val="30"/>
          <w:highlight w:val="white"/>
        </w:rPr>
        <w:t>预算数为13.87万元，支出决算为</w:t>
      </w:r>
      <w:r>
        <w:rPr>
          <w:rFonts w:ascii="华文仿宋" w:hAnsi="华文仿宋" w:eastAsia="华文仿宋" w:cs="仿宋"/>
          <w:color w:val="000000"/>
          <w:sz w:val="30"/>
          <w:szCs w:val="30"/>
          <w:highlight w:val="white"/>
        </w:rPr>
        <w:t>9.08</w:t>
      </w:r>
      <w:r>
        <w:rPr>
          <w:rFonts w:hint="eastAsia" w:ascii="华文仿宋" w:hAnsi="华文仿宋" w:eastAsia="华文仿宋" w:cs="仿宋"/>
          <w:color w:val="000000"/>
          <w:sz w:val="30"/>
          <w:szCs w:val="30"/>
          <w:highlight w:val="white"/>
        </w:rPr>
        <w:t>万元，完成预算的65.47</w:t>
      </w:r>
      <w:r>
        <w:rPr>
          <w:rFonts w:ascii="华文仿宋" w:hAnsi="华文仿宋" w:eastAsia="华文仿宋" w:cs="仿宋"/>
          <w:color w:val="000000"/>
          <w:sz w:val="30"/>
          <w:szCs w:val="30"/>
          <w:highlight w:val="white"/>
        </w:rPr>
        <w:t>%</w:t>
      </w:r>
      <w:r>
        <w:rPr>
          <w:rFonts w:hint="eastAsia" w:ascii="华文仿宋" w:hAnsi="华文仿宋" w:eastAsia="华文仿宋" w:cs="仿宋"/>
          <w:color w:val="000000"/>
          <w:sz w:val="30"/>
          <w:szCs w:val="30"/>
          <w:highlight w:val="white"/>
        </w:rPr>
        <w:t>。决算数小于预算数的主要原因是严格执行单位车辆管理制度，加强单位车辆安全管理。</w:t>
      </w:r>
    </w:p>
    <w:p>
      <w:pPr>
        <w:autoSpaceDE w:val="0"/>
        <w:autoSpaceDN w:val="0"/>
        <w:adjustRightInd w:val="0"/>
        <w:spacing w:line="324" w:lineRule="auto"/>
        <w:ind w:firstLine="601" w:firstLineChars="200"/>
        <w:rPr>
          <w:rFonts w:ascii="华文仿宋" w:hAnsi="华文仿宋" w:eastAsia="华文仿宋" w:cs="仿宋"/>
          <w:color w:val="000000"/>
          <w:sz w:val="30"/>
          <w:szCs w:val="30"/>
          <w:highlight w:val="white"/>
        </w:rPr>
      </w:pPr>
      <w:r>
        <w:rPr>
          <w:rFonts w:hint="eastAsia" w:ascii="华文仿宋" w:hAnsi="华文仿宋" w:eastAsia="华文仿宋" w:cs="仿宋"/>
          <w:b/>
          <w:bCs/>
          <w:color w:val="000000"/>
          <w:sz w:val="30"/>
          <w:szCs w:val="30"/>
          <w:highlight w:val="white"/>
        </w:rPr>
        <w:t>公务用车购置</w:t>
      </w:r>
      <w:r>
        <w:rPr>
          <w:rFonts w:hint="eastAsia" w:ascii="华文仿宋" w:hAnsi="华文仿宋" w:eastAsia="华文仿宋" w:cs="仿宋"/>
          <w:color w:val="000000"/>
          <w:sz w:val="30"/>
          <w:szCs w:val="30"/>
          <w:highlight w:val="white"/>
        </w:rPr>
        <w:t>预算数为0万元，支出决算为</w:t>
      </w:r>
      <w:r>
        <w:rPr>
          <w:rFonts w:ascii="华文仿宋" w:hAnsi="华文仿宋" w:eastAsia="华文仿宋" w:cs="仿宋"/>
          <w:sz w:val="30"/>
          <w:szCs w:val="30"/>
          <w:highlight w:val="white"/>
          <w:lang w:val="zh-CN"/>
        </w:rPr>
        <w:t>0</w:t>
      </w:r>
      <w:r>
        <w:rPr>
          <w:rFonts w:hint="eastAsia" w:ascii="华文仿宋" w:hAnsi="华文仿宋" w:eastAsia="华文仿宋" w:cs="仿宋"/>
          <w:color w:val="000000"/>
          <w:sz w:val="30"/>
          <w:szCs w:val="30"/>
          <w:highlight w:val="white"/>
        </w:rPr>
        <w:t>万元（含购置税等附加费用），主要用于经批准购置的</w:t>
      </w:r>
      <w:r>
        <w:rPr>
          <w:rFonts w:ascii="华文仿宋" w:hAnsi="华文仿宋" w:eastAsia="华文仿宋" w:cs="仿宋"/>
          <w:sz w:val="30"/>
          <w:szCs w:val="30"/>
          <w:highlight w:val="white"/>
          <w:lang w:val="zh-CN"/>
        </w:rPr>
        <w:t>0</w:t>
      </w:r>
      <w:r>
        <w:rPr>
          <w:rFonts w:hint="eastAsia" w:ascii="华文仿宋" w:hAnsi="华文仿宋" w:eastAsia="华文仿宋" w:cs="仿宋"/>
          <w:color w:val="000000"/>
          <w:sz w:val="30"/>
          <w:szCs w:val="30"/>
          <w:highlight w:val="white"/>
        </w:rPr>
        <w:t>辆公务用车；</w:t>
      </w:r>
    </w:p>
    <w:p>
      <w:pPr>
        <w:autoSpaceDE w:val="0"/>
        <w:autoSpaceDN w:val="0"/>
        <w:adjustRightInd w:val="0"/>
        <w:spacing w:line="324" w:lineRule="auto"/>
        <w:ind w:firstLine="601" w:firstLineChars="200"/>
        <w:rPr>
          <w:rFonts w:ascii="华文仿宋" w:hAnsi="华文仿宋" w:eastAsia="华文仿宋" w:cs="仿宋"/>
          <w:color w:val="000000"/>
          <w:sz w:val="30"/>
          <w:szCs w:val="30"/>
          <w:highlight w:val="white"/>
        </w:rPr>
      </w:pPr>
      <w:r>
        <w:rPr>
          <w:rFonts w:hint="eastAsia" w:ascii="华文仿宋" w:hAnsi="华文仿宋" w:eastAsia="华文仿宋" w:cs="仿宋"/>
          <w:b/>
          <w:bCs/>
          <w:color w:val="000000"/>
          <w:sz w:val="30"/>
          <w:szCs w:val="30"/>
          <w:highlight w:val="white"/>
        </w:rPr>
        <w:t>公务用车运行维护费</w:t>
      </w:r>
      <w:r>
        <w:rPr>
          <w:rFonts w:hint="eastAsia" w:ascii="华文仿宋" w:hAnsi="华文仿宋" w:eastAsia="华文仿宋" w:cs="仿宋"/>
          <w:color w:val="000000"/>
          <w:sz w:val="30"/>
          <w:szCs w:val="30"/>
          <w:highlight w:val="white"/>
        </w:rPr>
        <w:t>预算数为13.87万元，支出</w:t>
      </w:r>
      <w:r>
        <w:rPr>
          <w:rFonts w:ascii="华文仿宋" w:hAnsi="华文仿宋" w:eastAsia="华文仿宋" w:cs="仿宋"/>
          <w:sz w:val="30"/>
          <w:szCs w:val="30"/>
          <w:highlight w:val="white"/>
          <w:lang w:val="zh-CN"/>
        </w:rPr>
        <w:t>9.08</w:t>
      </w:r>
      <w:r>
        <w:rPr>
          <w:rFonts w:hint="eastAsia" w:ascii="华文仿宋" w:hAnsi="华文仿宋" w:eastAsia="华文仿宋" w:cs="仿宋"/>
          <w:color w:val="000000"/>
          <w:sz w:val="30"/>
          <w:szCs w:val="30"/>
          <w:highlight w:val="white"/>
        </w:rPr>
        <w:t>万元，完成预算的65.47</w:t>
      </w:r>
      <w:r>
        <w:rPr>
          <w:rFonts w:ascii="华文仿宋" w:hAnsi="华文仿宋" w:eastAsia="华文仿宋" w:cs="仿宋"/>
          <w:color w:val="000000"/>
          <w:sz w:val="30"/>
          <w:szCs w:val="30"/>
          <w:highlight w:val="white"/>
        </w:rPr>
        <w:t>%</w:t>
      </w:r>
      <w:r>
        <w:rPr>
          <w:rFonts w:hint="eastAsia" w:ascii="华文仿宋" w:hAnsi="华文仿宋" w:eastAsia="华文仿宋" w:cs="仿宋"/>
          <w:color w:val="000000"/>
          <w:sz w:val="30"/>
          <w:szCs w:val="30"/>
          <w:highlight w:val="white"/>
        </w:rPr>
        <w:t>。决算数小于预算数的主要原因是严格执行单位车辆管理制度，加强单位车辆安全管理。主要用于局机关及各基层所等所需的公务用车燃料费、维修费、过路过桥费、保险费、安全奖励费用等支出；</w:t>
      </w:r>
      <w:r>
        <w:rPr>
          <w:rFonts w:ascii="华文仿宋" w:hAnsi="华文仿宋" w:eastAsia="华文仿宋" w:cs="仿宋"/>
          <w:color w:val="000000"/>
          <w:sz w:val="30"/>
          <w:szCs w:val="30"/>
          <w:highlight w:val="white"/>
        </w:rPr>
        <w:t>2020</w:t>
      </w:r>
      <w:r>
        <w:rPr>
          <w:rFonts w:hint="eastAsia" w:ascii="华文仿宋" w:hAnsi="华文仿宋" w:eastAsia="华文仿宋" w:cs="仿宋"/>
          <w:color w:val="000000"/>
          <w:sz w:val="30"/>
          <w:szCs w:val="30"/>
          <w:highlight w:val="white"/>
        </w:rPr>
        <w:t>年度，本级及所属单位开支一般公共预算财政拨款的公务用车保有量为</w:t>
      </w:r>
      <w:r>
        <w:rPr>
          <w:rFonts w:ascii="华文仿宋" w:hAnsi="华文仿宋" w:eastAsia="华文仿宋" w:cs="仿宋"/>
          <w:sz w:val="30"/>
          <w:szCs w:val="30"/>
          <w:highlight w:val="white"/>
          <w:lang w:val="zh-CN"/>
        </w:rPr>
        <w:t>6</w:t>
      </w:r>
      <w:r>
        <w:rPr>
          <w:rFonts w:hint="eastAsia" w:ascii="华文仿宋" w:hAnsi="华文仿宋" w:eastAsia="华文仿宋" w:cs="仿宋"/>
          <w:color w:val="000000"/>
          <w:sz w:val="30"/>
          <w:szCs w:val="30"/>
          <w:highlight w:val="white"/>
        </w:rPr>
        <w:t>辆。</w:t>
      </w:r>
    </w:p>
    <w:p>
      <w:pPr>
        <w:autoSpaceDE w:val="0"/>
        <w:autoSpaceDN w:val="0"/>
        <w:adjustRightInd w:val="0"/>
        <w:spacing w:line="324" w:lineRule="auto"/>
        <w:ind w:firstLine="601" w:firstLineChars="200"/>
        <w:rPr>
          <w:rFonts w:ascii="华文仿宋" w:hAnsi="华文仿宋" w:eastAsia="华文仿宋" w:cs="仿宋"/>
          <w:color w:val="000000"/>
          <w:sz w:val="30"/>
          <w:szCs w:val="30"/>
          <w:highlight w:val="white"/>
        </w:rPr>
      </w:pPr>
      <w:r>
        <w:rPr>
          <w:rFonts w:hint="eastAsia" w:ascii="华文仿宋" w:hAnsi="华文仿宋" w:eastAsia="华文仿宋" w:cs="仿宋"/>
          <w:b/>
          <w:bCs/>
          <w:color w:val="000000"/>
          <w:sz w:val="30"/>
          <w:szCs w:val="30"/>
          <w:highlight w:val="white"/>
        </w:rPr>
        <w:t>（</w:t>
      </w:r>
      <w:r>
        <w:rPr>
          <w:rFonts w:ascii="华文仿宋" w:hAnsi="华文仿宋" w:eastAsia="华文仿宋" w:cs="仿宋"/>
          <w:b/>
          <w:bCs/>
          <w:color w:val="000000"/>
          <w:sz w:val="30"/>
          <w:szCs w:val="30"/>
          <w:highlight w:val="white"/>
        </w:rPr>
        <w:t>3</w:t>
      </w:r>
      <w:r>
        <w:rPr>
          <w:rFonts w:hint="eastAsia" w:ascii="华文仿宋" w:hAnsi="华文仿宋" w:eastAsia="华文仿宋" w:cs="仿宋"/>
          <w:b/>
          <w:bCs/>
          <w:color w:val="000000"/>
          <w:sz w:val="30"/>
          <w:szCs w:val="30"/>
          <w:highlight w:val="white"/>
        </w:rPr>
        <w:t>）公务接待费</w:t>
      </w:r>
      <w:r>
        <w:rPr>
          <w:rFonts w:hint="eastAsia" w:ascii="华文仿宋" w:hAnsi="华文仿宋" w:eastAsia="华文仿宋" w:cs="仿宋"/>
          <w:color w:val="000000"/>
          <w:sz w:val="30"/>
          <w:szCs w:val="30"/>
          <w:highlight w:val="white"/>
        </w:rPr>
        <w:t>预算数为8万元，支出决算为</w:t>
      </w:r>
      <w:r>
        <w:rPr>
          <w:rFonts w:ascii="华文仿宋" w:hAnsi="华文仿宋" w:eastAsia="华文仿宋" w:cs="仿宋"/>
          <w:color w:val="000000"/>
          <w:sz w:val="30"/>
          <w:szCs w:val="30"/>
          <w:highlight w:val="white"/>
        </w:rPr>
        <w:t>7.6</w:t>
      </w:r>
      <w:r>
        <w:rPr>
          <w:rFonts w:hint="eastAsia" w:ascii="华文仿宋" w:hAnsi="华文仿宋" w:eastAsia="华文仿宋" w:cs="仿宋"/>
          <w:color w:val="000000"/>
          <w:sz w:val="30"/>
          <w:szCs w:val="30"/>
          <w:highlight w:val="white"/>
        </w:rPr>
        <w:t>万元，完成预算的95</w:t>
      </w:r>
      <w:r>
        <w:rPr>
          <w:rFonts w:ascii="华文仿宋" w:hAnsi="华文仿宋" w:eastAsia="华文仿宋" w:cs="仿宋"/>
          <w:color w:val="000000"/>
          <w:sz w:val="30"/>
          <w:szCs w:val="30"/>
          <w:highlight w:val="white"/>
        </w:rPr>
        <w:t>%</w:t>
      </w:r>
      <w:r>
        <w:rPr>
          <w:rFonts w:hint="eastAsia" w:ascii="华文仿宋" w:hAnsi="华文仿宋" w:eastAsia="华文仿宋" w:cs="仿宋"/>
          <w:color w:val="000000"/>
          <w:sz w:val="30"/>
          <w:szCs w:val="30"/>
          <w:highlight w:val="white"/>
        </w:rPr>
        <w:t>。主要用于接待上级部门及兄弟县市执行任务、稽查办案、学习交流、督查检查等支出。决算数小于预算数的主要原因是严格执行接待费管理制度，严格控制接待标准。全年使用一般公共预算财政拨款国内公务接待</w:t>
      </w:r>
      <w:r>
        <w:rPr>
          <w:rFonts w:ascii="华文仿宋" w:hAnsi="华文仿宋" w:eastAsia="华文仿宋" w:cs="仿宋"/>
          <w:color w:val="000000"/>
          <w:sz w:val="30"/>
          <w:szCs w:val="30"/>
          <w:highlight w:val="white"/>
        </w:rPr>
        <w:t>108</w:t>
      </w:r>
      <w:r>
        <w:rPr>
          <w:rFonts w:hint="eastAsia" w:ascii="华文仿宋" w:hAnsi="华文仿宋" w:eastAsia="华文仿宋" w:cs="仿宋"/>
          <w:color w:val="000000"/>
          <w:sz w:val="30"/>
          <w:szCs w:val="30"/>
          <w:highlight w:val="white"/>
        </w:rPr>
        <w:t>团组，累计</w:t>
      </w:r>
      <w:r>
        <w:rPr>
          <w:rFonts w:ascii="华文仿宋" w:hAnsi="华文仿宋" w:eastAsia="华文仿宋" w:cs="仿宋"/>
          <w:color w:val="000000"/>
          <w:sz w:val="30"/>
          <w:szCs w:val="30"/>
          <w:highlight w:val="white"/>
        </w:rPr>
        <w:t>839</w:t>
      </w:r>
      <w:r>
        <w:rPr>
          <w:rFonts w:hint="eastAsia" w:ascii="华文仿宋" w:hAnsi="华文仿宋" w:eastAsia="华文仿宋" w:cs="仿宋"/>
          <w:color w:val="000000"/>
          <w:sz w:val="30"/>
          <w:szCs w:val="30"/>
          <w:highlight w:val="white"/>
        </w:rPr>
        <w:t>人次。</w:t>
      </w:r>
    </w:p>
    <w:p>
      <w:pPr>
        <w:autoSpaceDE w:val="0"/>
        <w:autoSpaceDN w:val="0"/>
        <w:adjustRightInd w:val="0"/>
        <w:spacing w:line="324" w:lineRule="auto"/>
        <w:ind w:firstLine="601" w:firstLineChars="200"/>
        <w:rPr>
          <w:rFonts w:ascii="华文仿宋" w:hAnsi="华文仿宋" w:eastAsia="华文仿宋" w:cs="仿宋"/>
          <w:color w:val="000000"/>
          <w:sz w:val="30"/>
          <w:szCs w:val="30"/>
          <w:highlight w:val="white"/>
        </w:rPr>
      </w:pPr>
      <w:r>
        <w:rPr>
          <w:rFonts w:hint="eastAsia" w:ascii="华文仿宋" w:hAnsi="华文仿宋" w:eastAsia="华文仿宋" w:cs="仿宋"/>
          <w:b/>
          <w:bCs/>
          <w:color w:val="000000"/>
          <w:sz w:val="30"/>
          <w:szCs w:val="30"/>
          <w:highlight w:val="white"/>
        </w:rPr>
        <w:t>外宾接待</w:t>
      </w:r>
      <w:r>
        <w:rPr>
          <w:rFonts w:hint="eastAsia" w:ascii="华文仿宋" w:hAnsi="华文仿宋" w:eastAsia="华文仿宋" w:cs="仿宋"/>
          <w:color w:val="000000"/>
          <w:sz w:val="30"/>
          <w:szCs w:val="30"/>
          <w:highlight w:val="white"/>
        </w:rPr>
        <w:t>支出0万元，接待0人次，0批次。</w:t>
      </w:r>
    </w:p>
    <w:p>
      <w:pPr>
        <w:autoSpaceDE w:val="0"/>
        <w:autoSpaceDN w:val="0"/>
        <w:adjustRightInd w:val="0"/>
        <w:spacing w:line="324" w:lineRule="auto"/>
        <w:ind w:firstLine="601" w:firstLineChars="200"/>
        <w:rPr>
          <w:rFonts w:ascii="华文仿宋" w:hAnsi="华文仿宋" w:eastAsia="华文仿宋" w:cs="仿宋"/>
          <w:color w:val="000000"/>
          <w:sz w:val="30"/>
          <w:szCs w:val="30"/>
          <w:highlight w:val="white"/>
        </w:rPr>
      </w:pPr>
      <w:r>
        <w:rPr>
          <w:rFonts w:hint="eastAsia" w:ascii="华文仿宋" w:hAnsi="华文仿宋" w:eastAsia="华文仿宋" w:cs="仿宋"/>
          <w:b/>
          <w:bCs/>
          <w:color w:val="000000"/>
          <w:sz w:val="30"/>
          <w:szCs w:val="30"/>
          <w:highlight w:val="white"/>
        </w:rPr>
        <w:t>其他国内公务接待</w:t>
      </w:r>
      <w:r>
        <w:rPr>
          <w:rFonts w:hint="eastAsia" w:ascii="华文仿宋" w:hAnsi="华文仿宋" w:eastAsia="华文仿宋" w:cs="仿宋"/>
          <w:color w:val="000000"/>
          <w:sz w:val="30"/>
          <w:szCs w:val="30"/>
          <w:highlight w:val="white"/>
        </w:rPr>
        <w:t>支出</w:t>
      </w:r>
      <w:r>
        <w:rPr>
          <w:rFonts w:ascii="华文仿宋" w:hAnsi="华文仿宋" w:eastAsia="华文仿宋" w:cs="仿宋"/>
          <w:color w:val="000000"/>
          <w:sz w:val="30"/>
          <w:szCs w:val="30"/>
          <w:highlight w:val="white"/>
        </w:rPr>
        <w:t>7.6</w:t>
      </w:r>
      <w:r>
        <w:rPr>
          <w:rFonts w:hint="eastAsia" w:ascii="华文仿宋" w:hAnsi="华文仿宋" w:eastAsia="华文仿宋" w:cs="仿宋"/>
          <w:color w:val="000000"/>
          <w:sz w:val="30"/>
          <w:szCs w:val="30"/>
          <w:highlight w:val="white"/>
        </w:rPr>
        <w:t>万元，主要用于接待上级部门及兄弟县市执行任务、稽查办案、学习交流、督查检查等支出。接待</w:t>
      </w:r>
      <w:r>
        <w:rPr>
          <w:rFonts w:ascii="华文仿宋" w:hAnsi="华文仿宋" w:eastAsia="华文仿宋" w:cs="仿宋"/>
          <w:color w:val="000000"/>
          <w:sz w:val="30"/>
          <w:szCs w:val="30"/>
          <w:highlight w:val="white"/>
        </w:rPr>
        <w:t>108</w:t>
      </w:r>
      <w:r>
        <w:rPr>
          <w:rFonts w:hint="eastAsia" w:ascii="华文仿宋" w:hAnsi="华文仿宋" w:eastAsia="华文仿宋" w:cs="仿宋"/>
          <w:color w:val="000000"/>
          <w:sz w:val="30"/>
          <w:szCs w:val="30"/>
          <w:highlight w:val="white"/>
        </w:rPr>
        <w:t>团组，</w:t>
      </w:r>
      <w:r>
        <w:rPr>
          <w:rFonts w:ascii="华文仿宋" w:hAnsi="华文仿宋" w:eastAsia="华文仿宋" w:cs="仿宋"/>
          <w:color w:val="000000"/>
          <w:sz w:val="30"/>
          <w:szCs w:val="30"/>
          <w:highlight w:val="white"/>
        </w:rPr>
        <w:t>839</w:t>
      </w:r>
      <w:r>
        <w:rPr>
          <w:rFonts w:hint="eastAsia" w:ascii="华文仿宋" w:hAnsi="华文仿宋" w:eastAsia="华文仿宋" w:cs="仿宋"/>
          <w:color w:val="000000"/>
          <w:sz w:val="30"/>
          <w:szCs w:val="30"/>
          <w:highlight w:val="white"/>
        </w:rPr>
        <w:t>人次。</w:t>
      </w:r>
    </w:p>
    <w:p>
      <w:pPr>
        <w:pStyle w:val="23"/>
        <w:keepNext w:val="0"/>
        <w:keepLines w:val="0"/>
        <w:pageBreakBefore w:val="0"/>
        <w:kinsoku/>
        <w:wordWrap/>
        <w:overflowPunct/>
        <w:topLinePunct w:val="0"/>
        <w:bidi w:val="0"/>
        <w:snapToGrid/>
        <w:ind w:firstLine="601" w:firstLineChars="200"/>
        <w:textAlignment w:val="auto"/>
        <w:outlineLvl w:val="1"/>
        <w:rPr>
          <w:highlight w:val="white"/>
        </w:rPr>
      </w:pPr>
      <w:bookmarkStart w:id="15" w:name="_Toc30934"/>
      <w:r>
        <w:rPr>
          <w:rFonts w:hint="eastAsia"/>
          <w:highlight w:val="white"/>
        </w:rPr>
        <w:t>（十）机关运行经费支出说明</w:t>
      </w:r>
      <w:bookmarkEnd w:id="15"/>
    </w:p>
    <w:p>
      <w:pPr>
        <w:keepNext w:val="0"/>
        <w:keepLines w:val="0"/>
        <w:pageBreakBefore w:val="0"/>
        <w:kinsoku/>
        <w:wordWrap/>
        <w:overflowPunct/>
        <w:topLinePunct w:val="0"/>
        <w:autoSpaceDE w:val="0"/>
        <w:autoSpaceDN w:val="0"/>
        <w:bidi w:val="0"/>
        <w:adjustRightInd w:val="0"/>
        <w:snapToGrid/>
        <w:spacing w:line="324" w:lineRule="auto"/>
        <w:ind w:firstLine="600" w:firstLineChars="200"/>
        <w:textAlignment w:val="auto"/>
        <w:rPr>
          <w:rFonts w:ascii="华文仿宋" w:hAnsi="华文仿宋" w:eastAsia="华文仿宋" w:cs="仿宋"/>
          <w:color w:val="000000"/>
          <w:sz w:val="30"/>
          <w:szCs w:val="30"/>
          <w:highlight w:val="white"/>
        </w:rPr>
      </w:pPr>
      <w:r>
        <w:rPr>
          <w:rFonts w:ascii="华文仿宋" w:hAnsi="华文仿宋" w:eastAsia="华文仿宋" w:cs="仿宋"/>
          <w:color w:val="000000"/>
          <w:sz w:val="30"/>
          <w:szCs w:val="30"/>
          <w:highlight w:val="white"/>
        </w:rPr>
        <w:t>2020</w:t>
      </w:r>
      <w:r>
        <w:rPr>
          <w:rFonts w:hint="eastAsia" w:ascii="华文仿宋" w:hAnsi="华文仿宋" w:eastAsia="华文仿宋" w:cs="仿宋"/>
          <w:color w:val="000000"/>
          <w:sz w:val="30"/>
          <w:szCs w:val="30"/>
          <w:highlight w:val="white"/>
        </w:rPr>
        <w:t>年度机关运行经费年初预算数为473.56万元，支出决算为</w:t>
      </w:r>
      <w:r>
        <w:rPr>
          <w:rFonts w:ascii="华文仿宋" w:hAnsi="华文仿宋" w:eastAsia="华文仿宋" w:cs="仿宋"/>
          <w:kern w:val="0"/>
          <w:sz w:val="30"/>
          <w:szCs w:val="30"/>
          <w:highlight w:val="white"/>
        </w:rPr>
        <w:t>439.08</w:t>
      </w:r>
      <w:r>
        <w:rPr>
          <w:rFonts w:hint="eastAsia" w:ascii="华文仿宋" w:hAnsi="华文仿宋" w:eastAsia="华文仿宋" w:cs="仿宋"/>
          <w:color w:val="000000"/>
          <w:sz w:val="30"/>
          <w:szCs w:val="30"/>
          <w:highlight w:val="white"/>
        </w:rPr>
        <w:t>万元，完成年初预算的92.72</w:t>
      </w:r>
      <w:r>
        <w:rPr>
          <w:rFonts w:ascii="华文仿宋" w:hAnsi="华文仿宋" w:eastAsia="华文仿宋" w:cs="仿宋"/>
          <w:color w:val="000000"/>
          <w:sz w:val="30"/>
          <w:szCs w:val="30"/>
          <w:highlight w:val="white"/>
        </w:rPr>
        <w:t>%</w:t>
      </w:r>
      <w:r>
        <w:rPr>
          <w:rFonts w:hint="eastAsia" w:ascii="华文仿宋" w:hAnsi="华文仿宋" w:eastAsia="华文仿宋" w:cs="仿宋"/>
          <w:color w:val="000000"/>
          <w:sz w:val="30"/>
          <w:szCs w:val="30"/>
          <w:highlight w:val="white"/>
        </w:rPr>
        <w:t>，决算数小于预算数的主要原因是根据机关实际运行情况，适当缩减公用经费开支；比</w:t>
      </w:r>
      <w:r>
        <w:rPr>
          <w:rFonts w:ascii="华文仿宋" w:hAnsi="华文仿宋" w:eastAsia="华文仿宋" w:cs="仿宋"/>
          <w:color w:val="000000"/>
          <w:sz w:val="30"/>
          <w:szCs w:val="30"/>
          <w:highlight w:val="white"/>
        </w:rPr>
        <w:t>2019</w:t>
      </w:r>
      <w:r>
        <w:rPr>
          <w:rFonts w:hint="eastAsia" w:ascii="华文仿宋" w:hAnsi="华文仿宋" w:eastAsia="华文仿宋" w:cs="仿宋"/>
          <w:color w:val="000000"/>
          <w:sz w:val="30"/>
          <w:szCs w:val="30"/>
          <w:highlight w:val="white"/>
        </w:rPr>
        <w:t>年度增加155.44万元，增长54.8</w:t>
      </w:r>
      <w:r>
        <w:rPr>
          <w:rFonts w:ascii="华文仿宋" w:hAnsi="华文仿宋" w:eastAsia="华文仿宋" w:cs="仿宋"/>
          <w:color w:val="000000"/>
          <w:sz w:val="30"/>
          <w:szCs w:val="30"/>
          <w:highlight w:val="white"/>
        </w:rPr>
        <w:t>%</w:t>
      </w:r>
      <w:r>
        <w:rPr>
          <w:rFonts w:hint="eastAsia" w:ascii="华文仿宋" w:hAnsi="华文仿宋" w:eastAsia="华文仿宋" w:cs="仿宋"/>
          <w:color w:val="000000"/>
          <w:sz w:val="30"/>
          <w:szCs w:val="30"/>
          <w:highlight w:val="white"/>
        </w:rPr>
        <w:t>，主要原因是2020年度个私协会运行经费70万元以对民间非营利组织和群众自治组织补贴形式在公用经费中列支，以及人员增加而发生的相关经费支出。</w:t>
      </w:r>
    </w:p>
    <w:p>
      <w:pPr>
        <w:pStyle w:val="23"/>
        <w:keepNext w:val="0"/>
        <w:keepLines w:val="0"/>
        <w:pageBreakBefore w:val="0"/>
        <w:kinsoku/>
        <w:wordWrap/>
        <w:overflowPunct/>
        <w:topLinePunct w:val="0"/>
        <w:bidi w:val="0"/>
        <w:snapToGrid/>
        <w:ind w:firstLine="601" w:firstLineChars="200"/>
        <w:textAlignment w:val="auto"/>
        <w:outlineLvl w:val="1"/>
        <w:rPr>
          <w:highlight w:val="white"/>
        </w:rPr>
      </w:pPr>
      <w:bookmarkStart w:id="16" w:name="_Toc24120"/>
      <w:r>
        <w:rPr>
          <w:rFonts w:hint="eastAsia"/>
          <w:highlight w:val="white"/>
        </w:rPr>
        <w:t>（十一）政府采购支出说明</w:t>
      </w:r>
      <w:bookmarkEnd w:id="16"/>
    </w:p>
    <w:p>
      <w:pPr>
        <w:keepNext w:val="0"/>
        <w:keepLines w:val="0"/>
        <w:pageBreakBefore w:val="0"/>
        <w:kinsoku/>
        <w:wordWrap/>
        <w:overflowPunct/>
        <w:topLinePunct w:val="0"/>
        <w:autoSpaceDE w:val="0"/>
        <w:autoSpaceDN w:val="0"/>
        <w:bidi w:val="0"/>
        <w:adjustRightInd w:val="0"/>
        <w:snapToGrid/>
        <w:spacing w:line="324" w:lineRule="auto"/>
        <w:ind w:firstLine="600" w:firstLineChars="200"/>
        <w:textAlignment w:val="auto"/>
        <w:rPr>
          <w:rFonts w:ascii="华文仿宋" w:hAnsi="华文仿宋" w:eastAsia="华文仿宋" w:cs="仿宋"/>
          <w:sz w:val="30"/>
          <w:szCs w:val="30"/>
          <w:highlight w:val="white"/>
        </w:rPr>
      </w:pPr>
      <w:r>
        <w:rPr>
          <w:rFonts w:ascii="华文仿宋" w:hAnsi="华文仿宋" w:eastAsia="华文仿宋" w:cs="仿宋"/>
          <w:color w:val="000000"/>
          <w:sz w:val="30"/>
          <w:szCs w:val="30"/>
          <w:highlight w:val="white"/>
        </w:rPr>
        <w:t>2020</w:t>
      </w:r>
      <w:r>
        <w:rPr>
          <w:rFonts w:hint="eastAsia" w:ascii="华文仿宋" w:hAnsi="华文仿宋" w:eastAsia="华文仿宋" w:cs="仿宋"/>
          <w:color w:val="000000"/>
          <w:sz w:val="30"/>
          <w:szCs w:val="30"/>
          <w:highlight w:val="white"/>
        </w:rPr>
        <w:t>年度政府采购支出总额</w:t>
      </w:r>
      <w:r>
        <w:rPr>
          <w:rFonts w:ascii="华文仿宋" w:hAnsi="华文仿宋" w:eastAsia="华文仿宋" w:cs="仿宋"/>
          <w:kern w:val="0"/>
          <w:sz w:val="30"/>
          <w:szCs w:val="30"/>
          <w:highlight w:val="white"/>
        </w:rPr>
        <w:t>851.79</w:t>
      </w:r>
      <w:r>
        <w:rPr>
          <w:rFonts w:hint="eastAsia" w:ascii="华文仿宋" w:hAnsi="华文仿宋" w:eastAsia="华文仿宋" w:cs="仿宋"/>
          <w:color w:val="000000"/>
          <w:sz w:val="30"/>
          <w:szCs w:val="30"/>
          <w:highlight w:val="white"/>
        </w:rPr>
        <w:t>万元，其中：政府采购货物支出</w:t>
      </w:r>
      <w:r>
        <w:rPr>
          <w:rFonts w:ascii="华文仿宋" w:hAnsi="华文仿宋" w:eastAsia="华文仿宋" w:cs="仿宋"/>
          <w:kern w:val="0"/>
          <w:sz w:val="30"/>
          <w:szCs w:val="30"/>
          <w:highlight w:val="white"/>
        </w:rPr>
        <w:t>813.28</w:t>
      </w:r>
      <w:r>
        <w:rPr>
          <w:rFonts w:hint="eastAsia" w:ascii="华文仿宋" w:hAnsi="华文仿宋" w:eastAsia="华文仿宋" w:cs="仿宋"/>
          <w:color w:val="000000"/>
          <w:sz w:val="30"/>
          <w:szCs w:val="30"/>
          <w:highlight w:val="white"/>
        </w:rPr>
        <w:t>万元、政府采购工程支出</w:t>
      </w:r>
      <w:r>
        <w:rPr>
          <w:rFonts w:ascii="华文仿宋" w:hAnsi="华文仿宋" w:eastAsia="华文仿宋" w:cs="仿宋"/>
          <w:kern w:val="0"/>
          <w:sz w:val="30"/>
          <w:szCs w:val="30"/>
          <w:highlight w:val="white"/>
        </w:rPr>
        <w:t>0</w:t>
      </w:r>
      <w:r>
        <w:rPr>
          <w:rFonts w:hint="eastAsia" w:ascii="华文仿宋" w:hAnsi="华文仿宋" w:eastAsia="华文仿宋" w:cs="仿宋"/>
          <w:color w:val="000000"/>
          <w:sz w:val="30"/>
          <w:szCs w:val="30"/>
          <w:highlight w:val="white"/>
        </w:rPr>
        <w:t>万元、政府采购服务支出</w:t>
      </w:r>
      <w:r>
        <w:rPr>
          <w:rFonts w:ascii="华文仿宋" w:hAnsi="华文仿宋" w:eastAsia="华文仿宋" w:cs="仿宋"/>
          <w:kern w:val="0"/>
          <w:sz w:val="30"/>
          <w:szCs w:val="30"/>
          <w:highlight w:val="white"/>
        </w:rPr>
        <w:t>38.51</w:t>
      </w:r>
      <w:r>
        <w:rPr>
          <w:rFonts w:hint="eastAsia" w:ascii="华文仿宋" w:hAnsi="华文仿宋" w:eastAsia="华文仿宋" w:cs="仿宋"/>
          <w:color w:val="000000"/>
          <w:sz w:val="30"/>
          <w:szCs w:val="30"/>
          <w:highlight w:val="white"/>
        </w:rPr>
        <w:t>万元。</w:t>
      </w:r>
      <w:r>
        <w:rPr>
          <w:rFonts w:hint="eastAsia" w:ascii="华文仿宋" w:hAnsi="华文仿宋" w:eastAsia="华文仿宋" w:cs="仿宋"/>
          <w:sz w:val="30"/>
          <w:szCs w:val="30"/>
          <w:highlight w:val="white"/>
        </w:rPr>
        <w:t>授予中小企业合同金额</w:t>
      </w:r>
      <w:r>
        <w:rPr>
          <w:rFonts w:ascii="华文仿宋" w:hAnsi="华文仿宋" w:eastAsia="华文仿宋" w:cs="仿宋"/>
          <w:kern w:val="0"/>
          <w:sz w:val="30"/>
          <w:szCs w:val="30"/>
          <w:highlight w:val="white"/>
        </w:rPr>
        <w:t>560.72</w:t>
      </w:r>
      <w:r>
        <w:rPr>
          <w:rFonts w:hint="eastAsia" w:ascii="华文仿宋" w:hAnsi="华文仿宋" w:eastAsia="华文仿宋" w:cs="仿宋"/>
          <w:sz w:val="30"/>
          <w:szCs w:val="30"/>
          <w:highlight w:val="white"/>
        </w:rPr>
        <w:t>万元，占政府采购支出总额的</w:t>
      </w:r>
      <w:r>
        <w:rPr>
          <w:rFonts w:ascii="华文仿宋" w:hAnsi="华文仿宋" w:eastAsia="华文仿宋" w:cs="仿宋"/>
          <w:kern w:val="0"/>
          <w:sz w:val="30"/>
          <w:szCs w:val="30"/>
          <w:highlight w:val="white"/>
        </w:rPr>
        <w:t>65.83</w:t>
      </w:r>
      <w:r>
        <w:rPr>
          <w:rFonts w:ascii="华文仿宋" w:hAnsi="华文仿宋" w:eastAsia="华文仿宋" w:cs="仿宋"/>
          <w:sz w:val="30"/>
          <w:szCs w:val="30"/>
          <w:highlight w:val="white"/>
        </w:rPr>
        <w:t>%</w:t>
      </w:r>
      <w:r>
        <w:rPr>
          <w:rFonts w:hint="eastAsia" w:ascii="华文仿宋" w:hAnsi="华文仿宋" w:eastAsia="华文仿宋" w:cs="仿宋"/>
          <w:sz w:val="30"/>
          <w:szCs w:val="30"/>
          <w:highlight w:val="white"/>
        </w:rPr>
        <w:t>。</w:t>
      </w:r>
      <w:r>
        <w:rPr>
          <w:rFonts w:hint="eastAsia" w:ascii="华文仿宋" w:hAnsi="华文仿宋" w:eastAsia="华文仿宋" w:cs="仿宋"/>
          <w:color w:val="000000"/>
          <w:sz w:val="30"/>
          <w:szCs w:val="30"/>
          <w:highlight w:val="white"/>
        </w:rPr>
        <w:t>其中，授予小微企业合同金额</w:t>
      </w:r>
      <w:r>
        <w:rPr>
          <w:rFonts w:ascii="华文仿宋" w:hAnsi="华文仿宋" w:eastAsia="华文仿宋" w:cs="仿宋"/>
          <w:kern w:val="0"/>
          <w:sz w:val="30"/>
          <w:szCs w:val="30"/>
          <w:highlight w:val="white"/>
        </w:rPr>
        <w:t>74.8</w:t>
      </w:r>
      <w:r>
        <w:rPr>
          <w:rFonts w:hint="eastAsia" w:ascii="华文仿宋" w:hAnsi="华文仿宋" w:eastAsia="华文仿宋" w:cs="仿宋"/>
          <w:color w:val="000000"/>
          <w:sz w:val="30"/>
          <w:szCs w:val="30"/>
          <w:highlight w:val="white"/>
        </w:rPr>
        <w:t>万元，占政府采购支出总额的</w:t>
      </w:r>
      <w:r>
        <w:rPr>
          <w:rFonts w:ascii="华文仿宋" w:hAnsi="华文仿宋" w:eastAsia="华文仿宋" w:cs="仿宋"/>
          <w:kern w:val="0"/>
          <w:sz w:val="30"/>
          <w:szCs w:val="30"/>
          <w:highlight w:val="white"/>
        </w:rPr>
        <w:t>8.78</w:t>
      </w:r>
      <w:r>
        <w:rPr>
          <w:rFonts w:ascii="华文仿宋" w:hAnsi="华文仿宋" w:eastAsia="华文仿宋" w:cs="仿宋"/>
          <w:sz w:val="30"/>
          <w:szCs w:val="30"/>
          <w:highlight w:val="white"/>
        </w:rPr>
        <w:t>%</w:t>
      </w:r>
      <w:r>
        <w:rPr>
          <w:rFonts w:hint="eastAsia" w:ascii="华文仿宋" w:hAnsi="华文仿宋" w:eastAsia="华文仿宋" w:cs="仿宋"/>
          <w:sz w:val="30"/>
          <w:szCs w:val="30"/>
          <w:highlight w:val="white"/>
        </w:rPr>
        <w:t>。</w:t>
      </w:r>
    </w:p>
    <w:p>
      <w:pPr>
        <w:pStyle w:val="23"/>
        <w:keepNext w:val="0"/>
        <w:keepLines w:val="0"/>
        <w:pageBreakBefore w:val="0"/>
        <w:kinsoku/>
        <w:wordWrap/>
        <w:overflowPunct/>
        <w:topLinePunct w:val="0"/>
        <w:bidi w:val="0"/>
        <w:snapToGrid/>
        <w:ind w:firstLine="601" w:firstLineChars="200"/>
        <w:textAlignment w:val="auto"/>
        <w:outlineLvl w:val="1"/>
        <w:rPr>
          <w:highlight w:val="white"/>
        </w:rPr>
      </w:pPr>
      <w:bookmarkStart w:id="17" w:name="_Toc9235"/>
      <w:r>
        <w:rPr>
          <w:rFonts w:hint="eastAsia"/>
          <w:highlight w:val="white"/>
        </w:rPr>
        <w:t>（十二）国有资产占有情况说明</w:t>
      </w:r>
      <w:bookmarkEnd w:id="17"/>
    </w:p>
    <w:p>
      <w:pPr>
        <w:keepNext w:val="0"/>
        <w:keepLines w:val="0"/>
        <w:pageBreakBefore w:val="0"/>
        <w:kinsoku/>
        <w:wordWrap/>
        <w:overflowPunct/>
        <w:topLinePunct w:val="0"/>
        <w:autoSpaceDE w:val="0"/>
        <w:autoSpaceDN w:val="0"/>
        <w:bidi w:val="0"/>
        <w:adjustRightInd w:val="0"/>
        <w:snapToGrid/>
        <w:spacing w:line="324" w:lineRule="auto"/>
        <w:ind w:firstLine="600" w:firstLineChars="200"/>
        <w:textAlignment w:val="auto"/>
        <w:rPr>
          <w:rFonts w:ascii="华文仿宋" w:hAnsi="华文仿宋" w:eastAsia="华文仿宋" w:cs="仿宋"/>
          <w:kern w:val="0"/>
          <w:sz w:val="30"/>
          <w:szCs w:val="30"/>
          <w:highlight w:val="white"/>
        </w:rPr>
      </w:pPr>
      <w:r>
        <w:rPr>
          <w:rFonts w:hint="eastAsia" w:ascii="华文仿宋" w:hAnsi="华文仿宋" w:eastAsia="华文仿宋" w:cs="仿宋"/>
          <w:color w:val="000000"/>
          <w:sz w:val="30"/>
          <w:szCs w:val="30"/>
          <w:highlight w:val="white"/>
        </w:rPr>
        <w:t>截至</w:t>
      </w:r>
      <w:r>
        <w:rPr>
          <w:rFonts w:ascii="华文仿宋" w:hAnsi="华文仿宋" w:eastAsia="华文仿宋" w:cs="仿宋"/>
          <w:color w:val="000000"/>
          <w:sz w:val="30"/>
          <w:szCs w:val="30"/>
          <w:highlight w:val="white"/>
        </w:rPr>
        <w:t>2020</w:t>
      </w:r>
      <w:r>
        <w:rPr>
          <w:rFonts w:hint="eastAsia" w:ascii="华文仿宋" w:hAnsi="华文仿宋" w:eastAsia="华文仿宋" w:cs="仿宋"/>
          <w:color w:val="000000"/>
          <w:sz w:val="30"/>
          <w:szCs w:val="30"/>
          <w:highlight w:val="white"/>
        </w:rPr>
        <w:t>年</w:t>
      </w:r>
      <w:r>
        <w:rPr>
          <w:rFonts w:ascii="华文仿宋" w:hAnsi="华文仿宋" w:eastAsia="华文仿宋" w:cs="仿宋"/>
          <w:color w:val="000000"/>
          <w:sz w:val="30"/>
          <w:szCs w:val="30"/>
          <w:highlight w:val="white"/>
        </w:rPr>
        <w:t>12</w:t>
      </w:r>
      <w:r>
        <w:rPr>
          <w:rFonts w:hint="eastAsia" w:ascii="华文仿宋" w:hAnsi="华文仿宋" w:eastAsia="华文仿宋" w:cs="仿宋"/>
          <w:color w:val="000000"/>
          <w:sz w:val="30"/>
          <w:szCs w:val="30"/>
          <w:highlight w:val="white"/>
        </w:rPr>
        <w:t>月</w:t>
      </w:r>
      <w:r>
        <w:rPr>
          <w:rFonts w:ascii="华文仿宋" w:hAnsi="华文仿宋" w:eastAsia="华文仿宋" w:cs="仿宋"/>
          <w:color w:val="000000"/>
          <w:sz w:val="30"/>
          <w:szCs w:val="30"/>
          <w:highlight w:val="white"/>
        </w:rPr>
        <w:t>31</w:t>
      </w:r>
      <w:r>
        <w:rPr>
          <w:rFonts w:hint="eastAsia" w:ascii="华文仿宋" w:hAnsi="华文仿宋" w:eastAsia="华文仿宋" w:cs="仿宋"/>
          <w:color w:val="000000"/>
          <w:sz w:val="30"/>
          <w:szCs w:val="30"/>
          <w:highlight w:val="white"/>
        </w:rPr>
        <w:t>日，遂昌县市场监督管理局本级及所属各单位共有车辆</w:t>
      </w:r>
      <w:r>
        <w:rPr>
          <w:rFonts w:ascii="华文仿宋" w:hAnsi="华文仿宋" w:eastAsia="华文仿宋" w:cs="仿宋"/>
          <w:kern w:val="0"/>
          <w:sz w:val="30"/>
          <w:szCs w:val="30"/>
          <w:highlight w:val="white"/>
        </w:rPr>
        <w:t>19</w:t>
      </w:r>
      <w:r>
        <w:rPr>
          <w:rFonts w:hint="eastAsia" w:ascii="华文仿宋" w:hAnsi="华文仿宋" w:eastAsia="华文仿宋" w:cs="仿宋"/>
          <w:color w:val="000000"/>
          <w:sz w:val="30"/>
          <w:szCs w:val="30"/>
          <w:highlight w:val="white"/>
        </w:rPr>
        <w:t>辆，其中，副部（省）级及以上领导用车</w:t>
      </w:r>
      <w:r>
        <w:rPr>
          <w:rFonts w:ascii="华文仿宋" w:hAnsi="华文仿宋" w:eastAsia="华文仿宋" w:cs="仿宋"/>
          <w:kern w:val="0"/>
          <w:sz w:val="30"/>
          <w:szCs w:val="30"/>
          <w:highlight w:val="white"/>
        </w:rPr>
        <w:t>0</w:t>
      </w:r>
      <w:r>
        <w:rPr>
          <w:rFonts w:hint="eastAsia" w:ascii="华文仿宋" w:hAnsi="华文仿宋" w:eastAsia="华文仿宋" w:cs="仿宋"/>
          <w:color w:val="000000"/>
          <w:sz w:val="30"/>
          <w:szCs w:val="30"/>
          <w:highlight w:val="white"/>
        </w:rPr>
        <w:t>辆、主要领导干部用车</w:t>
      </w:r>
      <w:r>
        <w:rPr>
          <w:rFonts w:ascii="华文仿宋" w:hAnsi="华文仿宋" w:eastAsia="华文仿宋" w:cs="仿宋"/>
          <w:kern w:val="0"/>
          <w:sz w:val="30"/>
          <w:szCs w:val="30"/>
          <w:highlight w:val="white"/>
        </w:rPr>
        <w:t>0</w:t>
      </w:r>
      <w:r>
        <w:rPr>
          <w:rFonts w:hint="eastAsia" w:ascii="华文仿宋" w:hAnsi="华文仿宋" w:eastAsia="华文仿宋" w:cs="仿宋"/>
          <w:color w:val="000000"/>
          <w:sz w:val="30"/>
          <w:szCs w:val="30"/>
          <w:highlight w:val="white"/>
        </w:rPr>
        <w:t>辆、机要通信用车</w:t>
      </w:r>
      <w:r>
        <w:rPr>
          <w:rFonts w:ascii="华文仿宋" w:hAnsi="华文仿宋" w:eastAsia="华文仿宋" w:cs="仿宋"/>
          <w:kern w:val="0"/>
          <w:sz w:val="30"/>
          <w:szCs w:val="30"/>
          <w:highlight w:val="white"/>
        </w:rPr>
        <w:t>0</w:t>
      </w:r>
      <w:r>
        <w:rPr>
          <w:rFonts w:hint="eastAsia" w:ascii="华文仿宋" w:hAnsi="华文仿宋" w:eastAsia="华文仿宋" w:cs="仿宋"/>
          <w:color w:val="000000"/>
          <w:sz w:val="30"/>
          <w:szCs w:val="30"/>
          <w:highlight w:val="white"/>
        </w:rPr>
        <w:t>辆、应急保障用车</w:t>
      </w:r>
      <w:r>
        <w:rPr>
          <w:rFonts w:ascii="华文仿宋" w:hAnsi="华文仿宋" w:eastAsia="华文仿宋" w:cs="仿宋"/>
          <w:kern w:val="0"/>
          <w:sz w:val="30"/>
          <w:szCs w:val="30"/>
          <w:highlight w:val="white"/>
        </w:rPr>
        <w:t>0</w:t>
      </w:r>
      <w:r>
        <w:rPr>
          <w:rFonts w:hint="eastAsia" w:ascii="华文仿宋" w:hAnsi="华文仿宋" w:eastAsia="华文仿宋" w:cs="仿宋"/>
          <w:color w:val="000000"/>
          <w:sz w:val="30"/>
          <w:szCs w:val="30"/>
          <w:highlight w:val="white"/>
        </w:rPr>
        <w:t>辆、执法执勤用车</w:t>
      </w:r>
      <w:r>
        <w:rPr>
          <w:rFonts w:ascii="华文仿宋" w:hAnsi="华文仿宋" w:eastAsia="华文仿宋" w:cs="仿宋"/>
          <w:kern w:val="0"/>
          <w:sz w:val="30"/>
          <w:szCs w:val="30"/>
          <w:highlight w:val="white"/>
        </w:rPr>
        <w:t>6</w:t>
      </w:r>
      <w:r>
        <w:rPr>
          <w:rFonts w:hint="eastAsia" w:ascii="华文仿宋" w:hAnsi="华文仿宋" w:eastAsia="华文仿宋" w:cs="仿宋"/>
          <w:color w:val="000000"/>
          <w:sz w:val="30"/>
          <w:szCs w:val="30"/>
          <w:highlight w:val="white"/>
        </w:rPr>
        <w:t>辆、特种专业技术用车</w:t>
      </w:r>
      <w:r>
        <w:rPr>
          <w:rFonts w:ascii="华文仿宋" w:hAnsi="华文仿宋" w:eastAsia="华文仿宋" w:cs="仿宋"/>
          <w:kern w:val="0"/>
          <w:sz w:val="30"/>
          <w:szCs w:val="30"/>
          <w:highlight w:val="white"/>
        </w:rPr>
        <w:t>12</w:t>
      </w:r>
      <w:r>
        <w:rPr>
          <w:rFonts w:hint="eastAsia" w:ascii="华文仿宋" w:hAnsi="华文仿宋" w:eastAsia="华文仿宋" w:cs="仿宋"/>
          <w:color w:val="000000"/>
          <w:sz w:val="30"/>
          <w:szCs w:val="30"/>
          <w:highlight w:val="white"/>
        </w:rPr>
        <w:t>辆、离退休</w:t>
      </w:r>
      <w:r>
        <w:rPr>
          <w:rFonts w:hint="eastAsia" w:ascii="华文仿宋" w:hAnsi="华文仿宋" w:eastAsia="华文仿宋" w:cs="仿宋"/>
          <w:kern w:val="0"/>
          <w:sz w:val="30"/>
          <w:szCs w:val="30"/>
          <w:highlight w:val="white"/>
        </w:rPr>
        <w:t>干部用车</w:t>
      </w:r>
      <w:r>
        <w:rPr>
          <w:rFonts w:ascii="华文仿宋" w:hAnsi="华文仿宋" w:eastAsia="华文仿宋" w:cs="仿宋"/>
          <w:kern w:val="0"/>
          <w:sz w:val="30"/>
          <w:szCs w:val="30"/>
          <w:highlight w:val="white"/>
        </w:rPr>
        <w:t>0</w:t>
      </w:r>
      <w:r>
        <w:rPr>
          <w:rFonts w:hint="eastAsia" w:ascii="华文仿宋" w:hAnsi="华文仿宋" w:eastAsia="华文仿宋" w:cs="仿宋"/>
          <w:kern w:val="0"/>
          <w:sz w:val="30"/>
          <w:szCs w:val="30"/>
          <w:highlight w:val="white"/>
        </w:rPr>
        <w:t>辆、其他用车</w:t>
      </w:r>
      <w:r>
        <w:rPr>
          <w:rFonts w:ascii="华文仿宋" w:hAnsi="华文仿宋" w:eastAsia="华文仿宋" w:cs="仿宋"/>
          <w:kern w:val="0"/>
          <w:sz w:val="30"/>
          <w:szCs w:val="30"/>
          <w:highlight w:val="white"/>
        </w:rPr>
        <w:t>1</w:t>
      </w:r>
      <w:r>
        <w:rPr>
          <w:rFonts w:hint="eastAsia" w:ascii="华文仿宋" w:hAnsi="华文仿宋" w:eastAsia="华文仿宋" w:cs="仿宋"/>
          <w:kern w:val="0"/>
          <w:sz w:val="30"/>
          <w:szCs w:val="30"/>
          <w:highlight w:val="white"/>
        </w:rPr>
        <w:t>辆</w:t>
      </w:r>
      <w:r>
        <w:rPr>
          <w:rFonts w:ascii="华文仿宋" w:hAnsi="华文仿宋" w:eastAsia="华文仿宋" w:cs="仿宋"/>
          <w:kern w:val="0"/>
          <w:sz w:val="30"/>
          <w:szCs w:val="30"/>
          <w:highlight w:val="white"/>
        </w:rPr>
        <w:t>,</w:t>
      </w:r>
      <w:r>
        <w:rPr>
          <w:rFonts w:hint="eastAsia" w:ascii="华文仿宋" w:hAnsi="华文仿宋" w:eastAsia="华文仿宋" w:cs="仿宋"/>
          <w:kern w:val="0"/>
          <w:sz w:val="30"/>
          <w:szCs w:val="30"/>
          <w:highlight w:val="white"/>
        </w:rPr>
        <w:t>其他用车主要是遂昌县计量检定测试所开展计量检测业务用车；单价</w:t>
      </w:r>
      <w:r>
        <w:rPr>
          <w:rFonts w:ascii="华文仿宋" w:hAnsi="华文仿宋" w:eastAsia="华文仿宋" w:cs="仿宋"/>
          <w:kern w:val="0"/>
          <w:sz w:val="30"/>
          <w:szCs w:val="30"/>
          <w:highlight w:val="white"/>
        </w:rPr>
        <w:t>50</w:t>
      </w:r>
      <w:r>
        <w:rPr>
          <w:rFonts w:hint="eastAsia" w:ascii="华文仿宋" w:hAnsi="华文仿宋" w:eastAsia="华文仿宋" w:cs="仿宋"/>
          <w:kern w:val="0"/>
          <w:sz w:val="30"/>
          <w:szCs w:val="30"/>
          <w:highlight w:val="white"/>
        </w:rPr>
        <w:t>万元以上通用设备</w:t>
      </w:r>
      <w:r>
        <w:rPr>
          <w:rFonts w:ascii="华文仿宋" w:hAnsi="华文仿宋" w:eastAsia="华文仿宋" w:cs="仿宋"/>
          <w:kern w:val="0"/>
          <w:sz w:val="30"/>
          <w:szCs w:val="30"/>
          <w:highlight w:val="white"/>
        </w:rPr>
        <w:t>0</w:t>
      </w:r>
      <w:r>
        <w:rPr>
          <w:rFonts w:hint="eastAsia" w:ascii="华文仿宋" w:hAnsi="华文仿宋" w:eastAsia="华文仿宋" w:cs="仿宋"/>
          <w:kern w:val="0"/>
          <w:sz w:val="30"/>
          <w:szCs w:val="30"/>
          <w:highlight w:val="white"/>
        </w:rPr>
        <w:t>台（套），单价</w:t>
      </w:r>
      <w:r>
        <w:rPr>
          <w:rFonts w:ascii="华文仿宋" w:hAnsi="华文仿宋" w:eastAsia="华文仿宋" w:cs="仿宋"/>
          <w:kern w:val="0"/>
          <w:sz w:val="30"/>
          <w:szCs w:val="30"/>
          <w:highlight w:val="white"/>
        </w:rPr>
        <w:t>100</w:t>
      </w:r>
      <w:r>
        <w:rPr>
          <w:rFonts w:hint="eastAsia" w:ascii="华文仿宋" w:hAnsi="华文仿宋" w:eastAsia="华文仿宋" w:cs="仿宋"/>
          <w:kern w:val="0"/>
          <w:sz w:val="30"/>
          <w:szCs w:val="30"/>
          <w:highlight w:val="white"/>
        </w:rPr>
        <w:t>万元以上专用设备</w:t>
      </w:r>
      <w:r>
        <w:rPr>
          <w:rFonts w:ascii="华文仿宋" w:hAnsi="华文仿宋" w:eastAsia="华文仿宋" w:cs="仿宋"/>
          <w:kern w:val="0"/>
          <w:sz w:val="30"/>
          <w:szCs w:val="30"/>
          <w:highlight w:val="white"/>
        </w:rPr>
        <w:t>0</w:t>
      </w:r>
      <w:r>
        <w:rPr>
          <w:rFonts w:hint="eastAsia" w:ascii="华文仿宋" w:hAnsi="华文仿宋" w:eastAsia="华文仿宋" w:cs="仿宋"/>
          <w:kern w:val="0"/>
          <w:sz w:val="30"/>
          <w:szCs w:val="30"/>
          <w:highlight w:val="white"/>
        </w:rPr>
        <w:t>台（套）。</w:t>
      </w:r>
      <w:r>
        <w:rPr>
          <w:rFonts w:ascii="华文仿宋" w:hAnsi="华文仿宋" w:eastAsia="华文仿宋" w:cs="仿宋"/>
          <w:kern w:val="0"/>
          <w:sz w:val="30"/>
          <w:szCs w:val="30"/>
          <w:highlight w:val="white"/>
        </w:rPr>
        <w:t xml:space="preserve"> </w:t>
      </w:r>
    </w:p>
    <w:p>
      <w:pPr>
        <w:pStyle w:val="23"/>
        <w:keepNext w:val="0"/>
        <w:keepLines w:val="0"/>
        <w:pageBreakBefore w:val="0"/>
        <w:kinsoku/>
        <w:wordWrap/>
        <w:overflowPunct/>
        <w:topLinePunct w:val="0"/>
        <w:bidi w:val="0"/>
        <w:snapToGrid/>
        <w:ind w:firstLine="601" w:firstLineChars="200"/>
        <w:textAlignment w:val="auto"/>
        <w:outlineLvl w:val="1"/>
        <w:rPr>
          <w:highlight w:val="white"/>
        </w:rPr>
      </w:pPr>
      <w:bookmarkStart w:id="18" w:name="_Toc29486"/>
      <w:r>
        <w:rPr>
          <w:rFonts w:hint="eastAsia"/>
          <w:highlight w:val="white"/>
        </w:rPr>
        <w:t>（十三）预算绩效情况说明</w:t>
      </w:r>
      <w:bookmarkEnd w:id="18"/>
    </w:p>
    <w:p>
      <w:pPr>
        <w:keepNext w:val="0"/>
        <w:keepLines w:val="0"/>
        <w:pageBreakBefore w:val="0"/>
        <w:kinsoku/>
        <w:wordWrap/>
        <w:overflowPunct/>
        <w:topLinePunct w:val="0"/>
        <w:bidi w:val="0"/>
        <w:snapToGrid/>
        <w:spacing w:line="324" w:lineRule="auto"/>
        <w:ind w:firstLine="601" w:firstLineChars="200"/>
        <w:textAlignment w:val="auto"/>
        <w:rPr>
          <w:rFonts w:ascii="华文仿宋" w:hAnsi="华文仿宋" w:eastAsia="华文仿宋"/>
          <w:color w:val="000000"/>
          <w:sz w:val="30"/>
          <w:szCs w:val="30"/>
          <w:highlight w:val="white"/>
        </w:rPr>
      </w:pPr>
      <w:r>
        <w:rPr>
          <w:rFonts w:hint="eastAsia" w:ascii="华文仿宋" w:hAnsi="华文仿宋" w:eastAsia="华文仿宋"/>
          <w:b/>
          <w:color w:val="000000"/>
          <w:sz w:val="30"/>
          <w:szCs w:val="30"/>
          <w:highlight w:val="white"/>
        </w:rPr>
        <w:t>1.预算绩效管理工作开展情况。</w:t>
      </w:r>
    </w:p>
    <w:p>
      <w:pPr>
        <w:keepNext w:val="0"/>
        <w:keepLines w:val="0"/>
        <w:pageBreakBefore w:val="0"/>
        <w:kinsoku/>
        <w:wordWrap/>
        <w:overflowPunct/>
        <w:topLinePunct w:val="0"/>
        <w:autoSpaceDE w:val="0"/>
        <w:autoSpaceDN w:val="0"/>
        <w:bidi w:val="0"/>
        <w:adjustRightInd w:val="0"/>
        <w:snapToGrid/>
        <w:spacing w:line="324" w:lineRule="auto"/>
        <w:ind w:firstLine="600" w:firstLineChars="200"/>
        <w:textAlignment w:val="auto"/>
        <w:rPr>
          <w:rFonts w:ascii="华文仿宋" w:hAnsi="华文仿宋" w:eastAsia="华文仿宋" w:cs="仿宋"/>
          <w:color w:val="000000"/>
          <w:sz w:val="30"/>
          <w:szCs w:val="30"/>
          <w:highlight w:val="white"/>
        </w:rPr>
      </w:pPr>
      <w:r>
        <w:rPr>
          <w:rFonts w:hint="eastAsia" w:ascii="华文仿宋" w:hAnsi="华文仿宋" w:eastAsia="华文仿宋" w:cs="仿宋"/>
          <w:color w:val="000000"/>
          <w:sz w:val="30"/>
          <w:szCs w:val="30"/>
          <w:highlight w:val="white"/>
        </w:rPr>
        <w:t>根据预算绩效管理要求，遂昌县市场监督管理局组织对2020年度一般公共预算项目支出全面开展绩效自评，共涉及资金2555.78万元，占一般公共预算项目支出总额的100%。组织对2020年度政策扶持-品牌创建、政策扶持-生态工业等2个政府性基金预算项目支出开展绩效自评，共涉及资金164.8万元，占政府性基金预算项目支出总额的100%。</w:t>
      </w:r>
    </w:p>
    <w:p>
      <w:pPr>
        <w:spacing w:line="324" w:lineRule="auto"/>
        <w:ind w:firstLine="600" w:firstLineChars="200"/>
        <w:rPr>
          <w:rFonts w:ascii="华文仿宋" w:hAnsi="华文仿宋" w:eastAsia="华文仿宋" w:cs="仿宋"/>
          <w:color w:val="000000"/>
          <w:sz w:val="30"/>
          <w:szCs w:val="30"/>
          <w:highlight w:val="white"/>
        </w:rPr>
      </w:pPr>
      <w:r>
        <w:rPr>
          <w:rFonts w:hint="eastAsia" w:ascii="华文仿宋" w:hAnsi="华文仿宋" w:eastAsia="华文仿宋" w:cs="仿宋"/>
          <w:color w:val="000000"/>
          <w:sz w:val="30"/>
          <w:szCs w:val="30"/>
          <w:highlight w:val="white"/>
        </w:rPr>
        <w:t>组织对惠企利民专项项目开展了部门评价，涉及一般公共预算支出1512.2万元，政府性基金预算支出0万元。从评价情况来看，市场监管部门以持续推动惠企政策落地，聚力助企纾困的补助帮扶等措施，为小微企业注入活力“强心剂”，全力赋能小微企业高质量发展，激发个体工商户转型升级为企业的主动性。2020年办理个转企63件，全县新设市场主体5191户，其中企业998家，个体户4193户，同比增长42.88%，年底全县在册市场主体总数达24416户。</w:t>
      </w:r>
    </w:p>
    <w:p>
      <w:pPr>
        <w:spacing w:line="324" w:lineRule="auto"/>
        <w:ind w:firstLine="600" w:firstLineChars="200"/>
        <w:rPr>
          <w:rFonts w:ascii="华文仿宋" w:hAnsi="华文仿宋" w:eastAsia="华文仿宋" w:cs="仿宋"/>
          <w:color w:val="000000"/>
          <w:sz w:val="30"/>
          <w:szCs w:val="30"/>
          <w:highlight w:val="white"/>
        </w:rPr>
      </w:pPr>
      <w:r>
        <w:rPr>
          <w:rFonts w:hint="eastAsia" w:ascii="华文仿宋" w:hAnsi="华文仿宋" w:eastAsia="华文仿宋" w:cs="仿宋"/>
          <w:color w:val="000000"/>
          <w:sz w:val="30"/>
          <w:szCs w:val="30"/>
          <w:highlight w:val="white"/>
        </w:rPr>
        <w:t>遂昌县市场监督管理局无下属二级预算单位，未开展整体支出绩效评价试点。</w:t>
      </w:r>
    </w:p>
    <w:p>
      <w:pPr>
        <w:spacing w:line="324" w:lineRule="auto"/>
        <w:ind w:firstLine="601" w:firstLineChars="200"/>
        <w:rPr>
          <w:rFonts w:ascii="华文仿宋" w:hAnsi="华文仿宋" w:eastAsia="华文仿宋"/>
          <w:b/>
          <w:color w:val="000000"/>
          <w:sz w:val="30"/>
          <w:szCs w:val="30"/>
          <w:highlight w:val="white"/>
        </w:rPr>
      </w:pPr>
      <w:r>
        <w:rPr>
          <w:rFonts w:ascii="华文仿宋" w:hAnsi="华文仿宋" w:eastAsia="华文仿宋"/>
          <w:b/>
          <w:color w:val="000000"/>
          <w:sz w:val="30"/>
          <w:szCs w:val="30"/>
          <w:highlight w:val="white"/>
        </w:rPr>
        <w:t>2.</w:t>
      </w:r>
      <w:r>
        <w:rPr>
          <w:rFonts w:hint="eastAsia" w:ascii="华文仿宋" w:hAnsi="华文仿宋" w:eastAsia="华文仿宋"/>
          <w:b/>
          <w:color w:val="000000"/>
          <w:sz w:val="30"/>
          <w:szCs w:val="30"/>
          <w:highlight w:val="white"/>
        </w:rPr>
        <w:t>部门决算中项目绩效自评结果。</w:t>
      </w:r>
    </w:p>
    <w:p>
      <w:pPr>
        <w:spacing w:line="324" w:lineRule="auto"/>
        <w:ind w:firstLine="600" w:firstLineChars="200"/>
        <w:rPr>
          <w:rFonts w:ascii="华文仿宋" w:hAnsi="华文仿宋" w:eastAsia="华文仿宋" w:cs="仿宋"/>
          <w:color w:val="000000"/>
          <w:sz w:val="30"/>
          <w:szCs w:val="30"/>
          <w:highlight w:val="white"/>
        </w:rPr>
      </w:pPr>
      <w:r>
        <w:rPr>
          <w:rFonts w:hint="eastAsia" w:ascii="华文仿宋" w:hAnsi="华文仿宋" w:eastAsia="华文仿宋" w:cs="仿宋"/>
          <w:color w:val="000000"/>
          <w:sz w:val="30"/>
          <w:szCs w:val="30"/>
          <w:highlight w:val="white"/>
        </w:rPr>
        <w:t>遂昌县市场监督管理局在2020年度部门决算中反映创建补助及检验检测中心运行经费项目绩效自评结果。</w:t>
      </w:r>
    </w:p>
    <w:p>
      <w:pPr>
        <w:widowControl/>
        <w:shd w:val="clear" w:color="auto" w:fill="FFFFFF"/>
        <w:spacing w:line="600" w:lineRule="exact"/>
        <w:ind w:firstLine="601" w:firstLineChars="200"/>
        <w:rPr>
          <w:rFonts w:ascii="华文仿宋" w:hAnsi="华文仿宋" w:eastAsia="华文仿宋" w:cs="仿宋_GB2312"/>
          <w:color w:val="333333"/>
          <w:kern w:val="0"/>
          <w:sz w:val="30"/>
          <w:szCs w:val="30"/>
        </w:rPr>
      </w:pPr>
      <w:r>
        <w:rPr>
          <w:rFonts w:hint="eastAsia" w:ascii="华文仿宋" w:hAnsi="华文仿宋" w:eastAsia="华文仿宋" w:cs="仿宋"/>
          <w:b/>
          <w:color w:val="000000"/>
          <w:sz w:val="30"/>
          <w:szCs w:val="30"/>
          <w:highlight w:val="white"/>
        </w:rPr>
        <w:t>创建补助项目绩效自评综述：</w:t>
      </w:r>
      <w:r>
        <w:rPr>
          <w:rFonts w:hint="eastAsia" w:ascii="华文仿宋" w:hAnsi="华文仿宋" w:eastAsia="华文仿宋" w:cs="仿宋"/>
          <w:color w:val="000000"/>
          <w:sz w:val="30"/>
          <w:szCs w:val="30"/>
          <w:highlight w:val="white"/>
        </w:rPr>
        <w:t>根据年初设定的绩效目标，项目自评得分92分，自评结论为</w:t>
      </w:r>
      <w:r>
        <w:rPr>
          <w:rFonts w:ascii="华文仿宋" w:hAnsi="华文仿宋" w:eastAsia="华文仿宋" w:cs="仿宋"/>
          <w:color w:val="000000"/>
          <w:sz w:val="30"/>
          <w:szCs w:val="30"/>
          <w:highlight w:val="white"/>
        </w:rPr>
        <w:t>“</w:t>
      </w:r>
      <w:r>
        <w:rPr>
          <w:rFonts w:hint="eastAsia" w:ascii="华文仿宋" w:hAnsi="华文仿宋" w:eastAsia="华文仿宋" w:cs="仿宋"/>
          <w:color w:val="000000"/>
          <w:sz w:val="30"/>
          <w:szCs w:val="30"/>
          <w:highlight w:val="white"/>
        </w:rPr>
        <w:t>良好</w:t>
      </w:r>
      <w:r>
        <w:rPr>
          <w:rFonts w:ascii="华文仿宋" w:hAnsi="华文仿宋" w:eastAsia="华文仿宋" w:cs="仿宋"/>
          <w:color w:val="000000"/>
          <w:sz w:val="30"/>
          <w:szCs w:val="30"/>
          <w:highlight w:val="white"/>
        </w:rPr>
        <w:t>”</w:t>
      </w:r>
      <w:r>
        <w:rPr>
          <w:rFonts w:hint="eastAsia" w:ascii="华文仿宋" w:hAnsi="华文仿宋" w:eastAsia="华文仿宋" w:cs="仿宋"/>
          <w:color w:val="000000"/>
          <w:sz w:val="30"/>
          <w:szCs w:val="30"/>
          <w:highlight w:val="white"/>
        </w:rPr>
        <w:t>。项目全年预算数为204.19万元，执行数为204.19万元，完成预算的100</w:t>
      </w:r>
      <w:r>
        <w:rPr>
          <w:rFonts w:ascii="华文仿宋" w:hAnsi="华文仿宋" w:eastAsia="华文仿宋" w:cs="仿宋"/>
          <w:color w:val="000000"/>
          <w:sz w:val="30"/>
          <w:szCs w:val="30"/>
          <w:highlight w:val="white"/>
        </w:rPr>
        <w:t>%</w:t>
      </w:r>
      <w:r>
        <w:rPr>
          <w:rFonts w:hint="eastAsia" w:ascii="华文仿宋" w:hAnsi="华文仿宋" w:eastAsia="华文仿宋" w:cs="仿宋"/>
          <w:color w:val="000000"/>
          <w:sz w:val="30"/>
          <w:szCs w:val="30"/>
          <w:highlight w:val="white"/>
        </w:rPr>
        <w:t>。</w:t>
      </w:r>
      <w:r>
        <w:rPr>
          <w:rFonts w:hint="eastAsia" w:ascii="华文仿宋" w:hAnsi="华文仿宋" w:eastAsia="华文仿宋" w:cs="仿宋"/>
          <w:b/>
          <w:color w:val="000000"/>
          <w:sz w:val="30"/>
          <w:szCs w:val="30"/>
          <w:highlight w:val="white"/>
        </w:rPr>
        <w:t>项目绩效目标完成情况：</w:t>
      </w:r>
      <w:r>
        <w:rPr>
          <w:rFonts w:hint="eastAsia" w:ascii="华文仿宋" w:hAnsi="华文仿宋" w:eastAsia="华文仿宋" w:cs="仿宋_GB2312"/>
          <w:color w:val="333333"/>
          <w:kern w:val="0"/>
          <w:sz w:val="30"/>
          <w:szCs w:val="30"/>
        </w:rPr>
        <w:t>一是完成市民生实事和市对县食品安全年度目标考核任务；二是打造一批基本设施完备、实用方便、保障安全的农村家宴放心厨房；三是有效防控农村集体聚餐食源性疾病的发生，提升农村集体聚餐食品安全防控水平；四是夯实基层食品安全基础，充分发挥基层食安办</w:t>
      </w:r>
      <w:r>
        <w:rPr>
          <w:rFonts w:ascii="华文仿宋" w:hAnsi="华文仿宋" w:eastAsia="华文仿宋" w:cs="仿宋_GB2312"/>
          <w:color w:val="333333"/>
          <w:kern w:val="0"/>
          <w:sz w:val="30"/>
          <w:szCs w:val="30"/>
        </w:rPr>
        <w:t>“</w:t>
      </w:r>
      <w:r>
        <w:rPr>
          <w:rFonts w:hint="eastAsia" w:ascii="华文仿宋" w:hAnsi="华文仿宋" w:eastAsia="华文仿宋" w:cs="仿宋_GB2312"/>
          <w:color w:val="333333"/>
          <w:kern w:val="0"/>
          <w:sz w:val="30"/>
          <w:szCs w:val="30"/>
        </w:rPr>
        <w:t>助手</w:t>
      </w:r>
      <w:r>
        <w:rPr>
          <w:rFonts w:ascii="华文仿宋" w:hAnsi="华文仿宋" w:eastAsia="华文仿宋" w:cs="仿宋_GB2312"/>
          <w:color w:val="333333"/>
          <w:kern w:val="0"/>
          <w:sz w:val="30"/>
          <w:szCs w:val="30"/>
        </w:rPr>
        <w:t>”“</w:t>
      </w:r>
      <w:r>
        <w:rPr>
          <w:rFonts w:hint="eastAsia" w:ascii="华文仿宋" w:hAnsi="华文仿宋" w:eastAsia="华文仿宋" w:cs="仿宋_GB2312"/>
          <w:color w:val="333333"/>
          <w:kern w:val="0"/>
          <w:sz w:val="30"/>
          <w:szCs w:val="30"/>
        </w:rPr>
        <w:t>抓手</w:t>
      </w:r>
      <w:r>
        <w:rPr>
          <w:rFonts w:ascii="华文仿宋" w:hAnsi="华文仿宋" w:eastAsia="华文仿宋" w:cs="仿宋_GB2312"/>
          <w:color w:val="333333"/>
          <w:kern w:val="0"/>
          <w:sz w:val="30"/>
          <w:szCs w:val="30"/>
        </w:rPr>
        <w:t>”</w:t>
      </w:r>
      <w:r>
        <w:rPr>
          <w:rFonts w:hint="eastAsia" w:ascii="华文仿宋" w:hAnsi="华文仿宋" w:eastAsia="华文仿宋" w:cs="仿宋_GB2312"/>
          <w:color w:val="333333"/>
          <w:kern w:val="0"/>
          <w:sz w:val="30"/>
          <w:szCs w:val="30"/>
        </w:rPr>
        <w:t>作用，推动基层食品安全长治久安，推动餐饮行业诚信体系建设，强化餐饮单位自律意识；五是确保我县</w:t>
      </w:r>
      <w:r>
        <w:rPr>
          <w:rFonts w:ascii="华文仿宋" w:hAnsi="华文仿宋" w:eastAsia="华文仿宋" w:cs="仿宋_GB2312"/>
          <w:color w:val="333333"/>
          <w:kern w:val="0"/>
          <w:sz w:val="30"/>
          <w:szCs w:val="30"/>
        </w:rPr>
        <w:t>3</w:t>
      </w:r>
      <w:r>
        <w:rPr>
          <w:rFonts w:hint="eastAsia" w:ascii="华文仿宋" w:hAnsi="华文仿宋" w:eastAsia="华文仿宋" w:cs="仿宋_GB2312"/>
          <w:color w:val="333333"/>
          <w:kern w:val="0"/>
          <w:sz w:val="30"/>
          <w:szCs w:val="30"/>
        </w:rPr>
        <w:t>个省民生实事项目</w:t>
      </w:r>
      <w:r>
        <w:rPr>
          <w:rFonts w:ascii="华文仿宋" w:hAnsi="华文仿宋" w:eastAsia="华文仿宋" w:cs="仿宋_GB2312"/>
          <w:color w:val="333333"/>
          <w:kern w:val="0"/>
          <w:sz w:val="30"/>
          <w:szCs w:val="30"/>
        </w:rPr>
        <w:t>“</w:t>
      </w:r>
      <w:r>
        <w:rPr>
          <w:rFonts w:hint="eastAsia" w:ascii="华文仿宋" w:hAnsi="华文仿宋" w:eastAsia="华文仿宋" w:cs="仿宋_GB2312"/>
          <w:color w:val="333333"/>
          <w:kern w:val="0"/>
          <w:sz w:val="30"/>
          <w:szCs w:val="30"/>
        </w:rPr>
        <w:t>送药上山进岛便民服务点</w:t>
      </w:r>
      <w:r>
        <w:rPr>
          <w:rFonts w:ascii="华文仿宋" w:hAnsi="华文仿宋" w:eastAsia="华文仿宋" w:cs="仿宋_GB2312"/>
          <w:color w:val="333333"/>
          <w:kern w:val="0"/>
          <w:sz w:val="30"/>
          <w:szCs w:val="30"/>
        </w:rPr>
        <w:t>”</w:t>
      </w:r>
      <w:r>
        <w:rPr>
          <w:rFonts w:hint="eastAsia" w:ascii="华文仿宋" w:hAnsi="华文仿宋" w:eastAsia="华文仿宋" w:cs="仿宋_GB2312"/>
          <w:color w:val="333333"/>
          <w:kern w:val="0"/>
          <w:sz w:val="30"/>
          <w:szCs w:val="30"/>
        </w:rPr>
        <w:t>长效化运行；六是扶持培育政企共建的线下线上</w:t>
      </w:r>
      <w:r>
        <w:rPr>
          <w:rFonts w:ascii="华文仿宋" w:hAnsi="华文仿宋" w:eastAsia="华文仿宋" w:cs="仿宋_GB2312"/>
          <w:color w:val="333333"/>
          <w:kern w:val="0"/>
          <w:sz w:val="30"/>
          <w:szCs w:val="30"/>
        </w:rPr>
        <w:t>O2O</w:t>
      </w:r>
      <w:r>
        <w:rPr>
          <w:rFonts w:hint="eastAsia" w:ascii="华文仿宋" w:hAnsi="华文仿宋" w:eastAsia="华文仿宋" w:cs="仿宋_GB2312"/>
          <w:color w:val="333333"/>
          <w:kern w:val="0"/>
          <w:sz w:val="30"/>
          <w:szCs w:val="30"/>
        </w:rPr>
        <w:t>标准化服务平台；七是为药品不良反应监测工作提供数据；八是开展放心农贸市场创建工作</w:t>
      </w:r>
      <w:r>
        <w:rPr>
          <w:rFonts w:hint="eastAsia" w:ascii="华文仿宋" w:hAnsi="华文仿宋" w:eastAsia="华文仿宋"/>
          <w:sz w:val="30"/>
          <w:szCs w:val="30"/>
        </w:rPr>
        <w:t>，</w:t>
      </w:r>
      <w:r>
        <w:rPr>
          <w:rFonts w:hint="eastAsia" w:ascii="华文仿宋" w:hAnsi="华文仿宋" w:eastAsia="华文仿宋" w:cs="仿宋_GB2312"/>
          <w:color w:val="333333"/>
          <w:kern w:val="0"/>
          <w:sz w:val="30"/>
          <w:szCs w:val="30"/>
        </w:rPr>
        <w:t>进一步改善城乡农贸市场整体面貌。</w:t>
      </w:r>
      <w:r>
        <w:rPr>
          <w:rFonts w:hint="eastAsia" w:ascii="华文仿宋" w:hAnsi="华文仿宋" w:eastAsia="华文仿宋" w:cs="仿宋"/>
          <w:b/>
          <w:color w:val="000000"/>
          <w:sz w:val="30"/>
          <w:szCs w:val="30"/>
          <w:highlight w:val="white"/>
        </w:rPr>
        <w:t>发现的问题及原因：</w:t>
      </w:r>
      <w:r>
        <w:rPr>
          <w:rFonts w:hint="eastAsia" w:ascii="华文仿宋" w:hAnsi="华文仿宋" w:eastAsia="华文仿宋" w:cs="仿宋"/>
          <w:color w:val="000000"/>
          <w:sz w:val="30"/>
          <w:szCs w:val="30"/>
        </w:rPr>
        <w:t>一是</w:t>
      </w:r>
      <w:r>
        <w:rPr>
          <w:rFonts w:hint="eastAsia" w:ascii="华文仿宋" w:hAnsi="华文仿宋" w:eastAsia="华文仿宋" w:cs="仿宋_GB2312"/>
          <w:color w:val="333333"/>
          <w:kern w:val="0"/>
          <w:sz w:val="30"/>
          <w:szCs w:val="30"/>
        </w:rPr>
        <w:t>部分指标未完成年初设定值，部分绩效指标设定不够科学合理，存在指标值设定较低、指标范围涵盖不全面等问题。主要原因是预算申报、年初绩效目标设定时市局创建任务未下达，估计不够准确；二是因疫情影响，农村集体聚餐大幅减少。</w:t>
      </w:r>
      <w:r>
        <w:rPr>
          <w:rFonts w:hint="eastAsia" w:ascii="华文仿宋" w:hAnsi="华文仿宋" w:eastAsia="华文仿宋" w:cs="仿宋"/>
          <w:b/>
          <w:color w:val="000000"/>
          <w:sz w:val="30"/>
          <w:szCs w:val="30"/>
          <w:highlight w:val="white"/>
        </w:rPr>
        <w:t>下一步改进措施：</w:t>
      </w:r>
      <w:r>
        <w:rPr>
          <w:rFonts w:hint="eastAsia" w:ascii="华文仿宋" w:hAnsi="华文仿宋" w:eastAsia="华文仿宋" w:cs="仿宋_GB2312"/>
          <w:color w:val="333333"/>
          <w:kern w:val="0"/>
          <w:sz w:val="30"/>
          <w:szCs w:val="30"/>
        </w:rPr>
        <w:t>建议职能科室所队加强与省局、市局的沟通联系，尽早知晓来年工作任务和省补经费下达情况，做到更加科学合理的编制预算和设置绩效目标。</w:t>
      </w:r>
    </w:p>
    <w:p>
      <w:pPr>
        <w:spacing w:line="520" w:lineRule="exact"/>
        <w:ind w:firstLine="601" w:firstLineChars="200"/>
        <w:rPr>
          <w:rFonts w:ascii="华文仿宋" w:hAnsi="华文仿宋" w:eastAsia="华文仿宋" w:cs="仿宋_GB2312"/>
          <w:color w:val="333333"/>
          <w:kern w:val="0"/>
          <w:sz w:val="30"/>
          <w:szCs w:val="30"/>
        </w:rPr>
      </w:pPr>
      <w:r>
        <w:rPr>
          <w:rFonts w:hint="eastAsia" w:ascii="华文仿宋" w:hAnsi="华文仿宋" w:eastAsia="华文仿宋" w:cs="仿宋"/>
          <w:b/>
          <w:color w:val="000000"/>
          <w:sz w:val="30"/>
          <w:szCs w:val="30"/>
          <w:highlight w:val="white"/>
        </w:rPr>
        <w:t>检验检测中心运行经费项目绩效自评综述：</w:t>
      </w:r>
      <w:r>
        <w:rPr>
          <w:rFonts w:hint="eastAsia" w:ascii="华文仿宋" w:hAnsi="华文仿宋" w:eastAsia="华文仿宋" w:cs="仿宋"/>
          <w:color w:val="000000"/>
          <w:sz w:val="30"/>
          <w:szCs w:val="30"/>
          <w:highlight w:val="white"/>
        </w:rPr>
        <w:t>根据年初设定的绩效目标，项目自评得分96分，自评结论为</w:t>
      </w:r>
      <w:r>
        <w:rPr>
          <w:rFonts w:ascii="华文仿宋" w:hAnsi="华文仿宋" w:eastAsia="华文仿宋" w:cs="仿宋"/>
          <w:color w:val="000000"/>
          <w:sz w:val="30"/>
          <w:szCs w:val="30"/>
          <w:highlight w:val="white"/>
        </w:rPr>
        <w:t>“</w:t>
      </w:r>
      <w:r>
        <w:rPr>
          <w:rFonts w:hint="eastAsia" w:ascii="华文仿宋" w:hAnsi="华文仿宋" w:eastAsia="华文仿宋" w:cs="仿宋"/>
          <w:color w:val="000000"/>
          <w:sz w:val="30"/>
          <w:szCs w:val="30"/>
          <w:highlight w:val="white"/>
        </w:rPr>
        <w:t>优秀</w:t>
      </w:r>
      <w:r>
        <w:rPr>
          <w:rFonts w:ascii="华文仿宋" w:hAnsi="华文仿宋" w:eastAsia="华文仿宋" w:cs="仿宋"/>
          <w:color w:val="000000"/>
          <w:sz w:val="30"/>
          <w:szCs w:val="30"/>
          <w:highlight w:val="white"/>
        </w:rPr>
        <w:t>”</w:t>
      </w:r>
      <w:r>
        <w:rPr>
          <w:rFonts w:hint="eastAsia" w:ascii="华文仿宋" w:hAnsi="华文仿宋" w:eastAsia="华文仿宋" w:cs="仿宋"/>
          <w:color w:val="000000"/>
          <w:sz w:val="30"/>
          <w:szCs w:val="30"/>
          <w:highlight w:val="white"/>
        </w:rPr>
        <w:t>。项目全年预算数为150万元，执行数为142.25万元，完成预算的94.83</w:t>
      </w:r>
      <w:r>
        <w:rPr>
          <w:rFonts w:ascii="华文仿宋" w:hAnsi="华文仿宋" w:eastAsia="华文仿宋" w:cs="仿宋"/>
          <w:color w:val="000000"/>
          <w:sz w:val="30"/>
          <w:szCs w:val="30"/>
          <w:highlight w:val="white"/>
        </w:rPr>
        <w:t>%</w:t>
      </w:r>
      <w:r>
        <w:rPr>
          <w:rFonts w:hint="eastAsia" w:ascii="华文仿宋" w:hAnsi="华文仿宋" w:eastAsia="华文仿宋" w:cs="仿宋"/>
          <w:color w:val="000000"/>
          <w:sz w:val="30"/>
          <w:szCs w:val="30"/>
          <w:highlight w:val="white"/>
        </w:rPr>
        <w:t>。项目绩效目标完成情况：</w:t>
      </w:r>
      <w:r>
        <w:rPr>
          <w:rFonts w:hint="eastAsia" w:ascii="华文仿宋" w:hAnsi="华文仿宋" w:eastAsia="华文仿宋" w:cs="仿宋_GB2312"/>
          <w:color w:val="333333"/>
          <w:kern w:val="0"/>
          <w:sz w:val="30"/>
          <w:szCs w:val="30"/>
        </w:rPr>
        <w:t>根据食品安全检验情况、季节性食品情况、节假日食品安全风险、应急食品风险检测等因素，按月、季度制定抽检计划。机构按照实验室运行要求，良好运行实验室，确保机构正常运行。完成检测报告714批、检测项目数4200项、快速检测项目198批次、鉴定设备58台件；设备检定合格率100%、检测报告全年差错率0‰、全年检测报告及时率100%；完成每月抽检批次58批，向社会定期公布监测数据结果610批次，每年新增检测项目新增 5%；服务对象满意率达100%。</w:t>
      </w:r>
      <w:r>
        <w:rPr>
          <w:rFonts w:hint="eastAsia" w:ascii="华文仿宋" w:hAnsi="华文仿宋" w:eastAsia="华文仿宋" w:cs="仿宋"/>
          <w:b/>
          <w:color w:val="000000"/>
          <w:sz w:val="30"/>
          <w:szCs w:val="30"/>
          <w:highlight w:val="white"/>
        </w:rPr>
        <w:t>发现的问题及原因：</w:t>
      </w:r>
      <w:r>
        <w:rPr>
          <w:rFonts w:hint="eastAsia" w:ascii="华文仿宋" w:hAnsi="华文仿宋" w:eastAsia="华文仿宋" w:cs="仿宋"/>
          <w:color w:val="000000"/>
          <w:sz w:val="30"/>
          <w:szCs w:val="30"/>
          <w:highlight w:val="white"/>
        </w:rPr>
        <w:t>一是</w:t>
      </w:r>
      <w:r>
        <w:rPr>
          <w:rFonts w:hint="eastAsia" w:ascii="华文仿宋" w:hAnsi="华文仿宋" w:eastAsia="华文仿宋" w:cs="仿宋_GB2312"/>
          <w:color w:val="333333"/>
          <w:kern w:val="0"/>
          <w:sz w:val="30"/>
          <w:szCs w:val="30"/>
        </w:rPr>
        <w:t>预算资金执行不到位；二是部分预算资金未按年初预算经济科目使用。造成上述问题的原因是：根据县政府清减聘用人员要求，机构聘用人员全部清减，对机构业务正常开展运行造成一定影响；同时根据2020年省市县考核要求，对年初预算内容进行了相应调整。</w:t>
      </w:r>
      <w:r>
        <w:rPr>
          <w:rFonts w:hint="eastAsia" w:ascii="华文仿宋" w:hAnsi="华文仿宋" w:eastAsia="华文仿宋" w:cs="仿宋"/>
          <w:b/>
          <w:color w:val="000000"/>
          <w:sz w:val="30"/>
          <w:szCs w:val="30"/>
          <w:highlight w:val="white"/>
        </w:rPr>
        <w:t>下一步改进措施：</w:t>
      </w:r>
      <w:r>
        <w:rPr>
          <w:rFonts w:hint="eastAsia" w:ascii="华文仿宋" w:hAnsi="华文仿宋" w:eastAsia="华文仿宋" w:cs="仿宋_GB2312"/>
          <w:color w:val="333333"/>
          <w:kern w:val="0"/>
          <w:sz w:val="30"/>
          <w:szCs w:val="30"/>
        </w:rPr>
        <w:t>机构逐步建立稳定的人员队伍，提早下达业务考核内容，保障机构运行持续性</w:t>
      </w:r>
      <w:r>
        <w:rPr>
          <w:rFonts w:hint="eastAsia" w:ascii="华文仿宋" w:hAnsi="华文仿宋" w:eastAsia="华文仿宋" w:cs="仿宋"/>
          <w:color w:val="000000"/>
          <w:sz w:val="30"/>
          <w:szCs w:val="30"/>
          <w:highlight w:val="white"/>
        </w:rPr>
        <w:t>。</w:t>
      </w:r>
    </w:p>
    <w:p>
      <w:pPr>
        <w:autoSpaceDE w:val="0"/>
        <w:autoSpaceDN w:val="0"/>
        <w:adjustRightInd w:val="0"/>
        <w:spacing w:line="324" w:lineRule="auto"/>
        <w:ind w:firstLine="601" w:firstLineChars="200"/>
        <w:rPr>
          <w:rFonts w:ascii="华文仿宋" w:hAnsi="华文仿宋" w:eastAsia="华文仿宋" w:cs="仿宋"/>
          <w:b/>
          <w:bCs/>
          <w:color w:val="000000"/>
          <w:sz w:val="30"/>
          <w:szCs w:val="30"/>
          <w:highlight w:val="white"/>
        </w:rPr>
      </w:pPr>
      <w:r>
        <w:rPr>
          <w:rFonts w:ascii="华文仿宋" w:hAnsi="华文仿宋" w:eastAsia="华文仿宋" w:cs="仿宋"/>
          <w:b/>
          <w:bCs/>
          <w:color w:val="000000"/>
          <w:sz w:val="30"/>
          <w:szCs w:val="30"/>
          <w:highlight w:val="white"/>
        </w:rPr>
        <w:t>3.</w:t>
      </w:r>
      <w:r>
        <w:rPr>
          <w:rFonts w:hint="eastAsia" w:ascii="华文仿宋" w:hAnsi="华文仿宋" w:eastAsia="华文仿宋" w:cs="仿宋"/>
          <w:b/>
          <w:bCs/>
          <w:color w:val="000000"/>
          <w:sz w:val="30"/>
          <w:szCs w:val="30"/>
          <w:highlight w:val="white"/>
        </w:rPr>
        <w:t>财政评价项目绩效评价结果：</w:t>
      </w:r>
      <w:r>
        <w:rPr>
          <w:rFonts w:hint="eastAsia" w:ascii="华文仿宋" w:hAnsi="华文仿宋" w:eastAsia="华文仿宋" w:cs="仿宋"/>
          <w:bCs/>
          <w:color w:val="000000"/>
          <w:sz w:val="30"/>
          <w:szCs w:val="30"/>
          <w:highlight w:val="white"/>
        </w:rPr>
        <w:t>无。</w:t>
      </w:r>
    </w:p>
    <w:p>
      <w:pPr>
        <w:autoSpaceDE w:val="0"/>
        <w:autoSpaceDN w:val="0"/>
        <w:adjustRightInd w:val="0"/>
        <w:spacing w:line="324" w:lineRule="auto"/>
        <w:ind w:firstLine="601" w:firstLineChars="200"/>
        <w:rPr>
          <w:rFonts w:ascii="华文仿宋" w:hAnsi="华文仿宋" w:eastAsia="华文仿宋" w:cs="仿宋"/>
          <w:b/>
          <w:bCs/>
          <w:color w:val="000000"/>
          <w:sz w:val="30"/>
          <w:szCs w:val="30"/>
          <w:highlight w:val="white"/>
        </w:rPr>
      </w:pPr>
      <w:r>
        <w:rPr>
          <w:rFonts w:ascii="华文仿宋" w:hAnsi="华文仿宋" w:eastAsia="华文仿宋" w:cs="仿宋"/>
          <w:b/>
          <w:bCs/>
          <w:color w:val="000000"/>
          <w:sz w:val="30"/>
          <w:szCs w:val="30"/>
          <w:highlight w:val="white"/>
        </w:rPr>
        <w:t>4.</w:t>
      </w:r>
      <w:r>
        <w:rPr>
          <w:rFonts w:hint="eastAsia" w:ascii="华文仿宋" w:hAnsi="华文仿宋" w:eastAsia="华文仿宋" w:cs="仿宋"/>
          <w:b/>
          <w:bCs/>
          <w:color w:val="000000"/>
          <w:sz w:val="30"/>
          <w:szCs w:val="30"/>
          <w:highlight w:val="white"/>
        </w:rPr>
        <w:t>部门评价项目绩效评价结果</w:t>
      </w:r>
    </w:p>
    <w:p>
      <w:pPr>
        <w:widowControl/>
        <w:shd w:val="clear" w:color="auto" w:fill="FFFFFF"/>
        <w:spacing w:line="600" w:lineRule="exact"/>
        <w:ind w:firstLine="601" w:firstLineChars="200"/>
        <w:rPr>
          <w:rFonts w:ascii="华文仿宋" w:hAnsi="华文仿宋" w:eastAsia="华文仿宋" w:cs="仿宋_GB2312"/>
          <w:color w:val="333333"/>
          <w:kern w:val="0"/>
          <w:sz w:val="30"/>
          <w:szCs w:val="30"/>
        </w:rPr>
      </w:pPr>
      <w:r>
        <w:rPr>
          <w:rFonts w:hint="eastAsia" w:ascii="华文仿宋" w:hAnsi="华文仿宋" w:eastAsia="华文仿宋" w:cs="仿宋"/>
          <w:b/>
          <w:color w:val="000000"/>
          <w:sz w:val="30"/>
          <w:szCs w:val="30"/>
          <w:highlight w:val="white"/>
        </w:rPr>
        <w:t>惠企利民专项项目绩效自评综述：</w:t>
      </w:r>
      <w:r>
        <w:rPr>
          <w:rFonts w:hint="eastAsia" w:ascii="华文仿宋" w:hAnsi="华文仿宋" w:eastAsia="华文仿宋" w:cs="仿宋"/>
          <w:color w:val="000000"/>
          <w:sz w:val="30"/>
          <w:szCs w:val="30"/>
          <w:highlight w:val="white"/>
        </w:rPr>
        <w:t>本项目为年中追加项目，项目自评得分100分，自评结论为</w:t>
      </w:r>
      <w:r>
        <w:rPr>
          <w:rFonts w:ascii="华文仿宋" w:hAnsi="华文仿宋" w:eastAsia="华文仿宋" w:cs="仿宋"/>
          <w:color w:val="000000"/>
          <w:sz w:val="30"/>
          <w:szCs w:val="30"/>
          <w:highlight w:val="white"/>
        </w:rPr>
        <w:t>“</w:t>
      </w:r>
      <w:r>
        <w:rPr>
          <w:rFonts w:hint="eastAsia" w:ascii="华文仿宋" w:hAnsi="华文仿宋" w:eastAsia="华文仿宋" w:cs="仿宋"/>
          <w:color w:val="000000"/>
          <w:sz w:val="30"/>
          <w:szCs w:val="30"/>
          <w:highlight w:val="white"/>
        </w:rPr>
        <w:t>优秀</w:t>
      </w:r>
      <w:r>
        <w:rPr>
          <w:rFonts w:ascii="华文仿宋" w:hAnsi="华文仿宋" w:eastAsia="华文仿宋" w:cs="仿宋"/>
          <w:color w:val="000000"/>
          <w:sz w:val="30"/>
          <w:szCs w:val="30"/>
          <w:highlight w:val="white"/>
        </w:rPr>
        <w:t>”</w:t>
      </w:r>
      <w:r>
        <w:rPr>
          <w:rFonts w:hint="eastAsia" w:ascii="华文仿宋" w:hAnsi="华文仿宋" w:eastAsia="华文仿宋" w:cs="仿宋"/>
          <w:color w:val="000000"/>
          <w:sz w:val="30"/>
          <w:szCs w:val="30"/>
          <w:highlight w:val="white"/>
        </w:rPr>
        <w:t>。项目全年预算数为1512.2万元，执行数为1512.2万元，完成预算的100</w:t>
      </w:r>
      <w:r>
        <w:rPr>
          <w:rFonts w:ascii="华文仿宋" w:hAnsi="华文仿宋" w:eastAsia="华文仿宋" w:cs="仿宋"/>
          <w:color w:val="000000"/>
          <w:sz w:val="30"/>
          <w:szCs w:val="30"/>
          <w:highlight w:val="white"/>
        </w:rPr>
        <w:t>%</w:t>
      </w:r>
      <w:r>
        <w:rPr>
          <w:rFonts w:hint="eastAsia" w:ascii="华文仿宋" w:hAnsi="华文仿宋" w:eastAsia="华文仿宋" w:cs="仿宋"/>
          <w:color w:val="000000"/>
          <w:sz w:val="30"/>
          <w:szCs w:val="30"/>
          <w:highlight w:val="white"/>
        </w:rPr>
        <w:t>。</w:t>
      </w:r>
      <w:r>
        <w:rPr>
          <w:rFonts w:hint="eastAsia" w:ascii="华文仿宋" w:hAnsi="华文仿宋" w:eastAsia="华文仿宋" w:cs="仿宋"/>
          <w:b/>
          <w:color w:val="000000"/>
          <w:sz w:val="30"/>
          <w:szCs w:val="30"/>
          <w:highlight w:val="white"/>
        </w:rPr>
        <w:t>项目绩效目标完成情况：</w:t>
      </w:r>
      <w:r>
        <w:rPr>
          <w:rFonts w:hint="eastAsia" w:ascii="华文仿宋" w:hAnsi="华文仿宋" w:eastAsia="华文仿宋" w:cs="仿宋_GB2312"/>
          <w:color w:val="333333"/>
          <w:kern w:val="0"/>
          <w:sz w:val="30"/>
          <w:szCs w:val="30"/>
        </w:rPr>
        <w:t>通过针对性的发放补助，有效缓解了企业、个体户在疫情后的资金紧张等问题，帮助企业、个体户度过难关，增大了企业发展信心，为小微企业注入活力“强心剂”，全力赋能小微企业高质量发展，激发个体工商户转型升级为企业的主动性。</w:t>
      </w:r>
      <w:r>
        <w:rPr>
          <w:rFonts w:hint="eastAsia" w:ascii="华文仿宋" w:hAnsi="华文仿宋" w:eastAsia="华文仿宋" w:cs="仿宋"/>
          <w:color w:val="000000"/>
          <w:sz w:val="30"/>
          <w:szCs w:val="30"/>
          <w:highlight w:val="white"/>
        </w:rPr>
        <w:t>2020年办理个转企63件，全县新设市场主体5191户，其中企业998家，个体户4193户，同比增长42.88%，年底全县在册市场主体总数达24416户。</w:t>
      </w:r>
      <w:r>
        <w:rPr>
          <w:rFonts w:hint="eastAsia" w:ascii="华文仿宋" w:hAnsi="华文仿宋" w:eastAsia="华文仿宋" w:cs="仿宋"/>
          <w:b/>
          <w:color w:val="000000"/>
          <w:sz w:val="30"/>
          <w:szCs w:val="30"/>
          <w:highlight w:val="white"/>
        </w:rPr>
        <w:t>发现的问题及原因：</w:t>
      </w:r>
      <w:r>
        <w:rPr>
          <w:rFonts w:hint="eastAsia" w:ascii="华文仿宋" w:hAnsi="华文仿宋" w:eastAsia="华文仿宋" w:cs="仿宋_GB2312"/>
          <w:color w:val="333333"/>
          <w:kern w:val="0"/>
          <w:sz w:val="30"/>
          <w:szCs w:val="30"/>
        </w:rPr>
        <w:t>审核机制需进一步完善，发放过程中出现了国资办对国企数据核对错误，导致部分资金发放给国企，之后及时追回。</w:t>
      </w:r>
      <w:r>
        <w:rPr>
          <w:rFonts w:hint="eastAsia" w:ascii="华文仿宋" w:hAnsi="华文仿宋" w:eastAsia="华文仿宋" w:cs="仿宋"/>
          <w:b/>
          <w:color w:val="000000"/>
          <w:sz w:val="30"/>
          <w:szCs w:val="30"/>
          <w:highlight w:val="white"/>
        </w:rPr>
        <w:t>下一步改进措施：</w:t>
      </w:r>
      <w:r>
        <w:rPr>
          <w:rFonts w:hint="eastAsia" w:ascii="华文仿宋" w:hAnsi="华文仿宋" w:eastAsia="华文仿宋" w:cs="仿宋_GB2312"/>
          <w:color w:val="333333"/>
          <w:kern w:val="0"/>
          <w:sz w:val="30"/>
          <w:szCs w:val="30"/>
        </w:rPr>
        <w:t>进一步提高数字化管理水平，提高数据核对的准确性和有效性。</w:t>
      </w:r>
    </w:p>
    <w:p>
      <w:pPr>
        <w:autoSpaceDE w:val="0"/>
        <w:autoSpaceDN w:val="0"/>
        <w:adjustRightInd w:val="0"/>
        <w:spacing w:line="324" w:lineRule="auto"/>
        <w:ind w:firstLine="600" w:firstLineChars="200"/>
        <w:rPr>
          <w:rFonts w:ascii="华文仿宋" w:hAnsi="华文仿宋" w:eastAsia="华文仿宋" w:cs="仿宋"/>
          <w:color w:val="000000"/>
          <w:sz w:val="30"/>
          <w:szCs w:val="30"/>
          <w:highlight w:val="white"/>
        </w:rPr>
      </w:pPr>
      <w:r>
        <w:rPr>
          <w:rFonts w:hint="eastAsia" w:ascii="华文仿宋" w:hAnsi="华文仿宋" w:eastAsia="华文仿宋" w:cs="仿宋"/>
          <w:color w:val="000000"/>
          <w:sz w:val="30"/>
          <w:szCs w:val="30"/>
          <w:highlight w:val="white"/>
        </w:rPr>
        <w:t>说明：</w:t>
      </w:r>
      <w:r>
        <w:rPr>
          <w:rFonts w:hint="eastAsia" w:ascii="华文仿宋" w:hAnsi="华文仿宋" w:eastAsia="华文仿宋" w:cs="仿宋"/>
          <w:b/>
          <w:bCs/>
          <w:color w:val="000000"/>
          <w:sz w:val="30"/>
          <w:szCs w:val="30"/>
          <w:highlight w:val="white"/>
        </w:rPr>
        <w:t>部门评价项目</w:t>
      </w:r>
      <w:r>
        <w:rPr>
          <w:rFonts w:hint="eastAsia" w:ascii="华文仿宋" w:hAnsi="华文仿宋" w:eastAsia="华文仿宋" w:cs="仿宋"/>
          <w:color w:val="000000"/>
          <w:sz w:val="30"/>
          <w:szCs w:val="30"/>
          <w:highlight w:val="white"/>
        </w:rPr>
        <w:t>是指本部门自行开展的评价对象为本部门政策、项目、整体支出或下属单位整体支出的绩效评价；</w:t>
      </w:r>
      <w:r>
        <w:rPr>
          <w:rFonts w:hint="eastAsia" w:ascii="华文仿宋" w:hAnsi="华文仿宋" w:eastAsia="华文仿宋" w:cs="仿宋"/>
          <w:b/>
          <w:bCs/>
          <w:color w:val="000000"/>
          <w:sz w:val="30"/>
          <w:szCs w:val="30"/>
          <w:highlight w:val="white"/>
        </w:rPr>
        <w:t>财政评价项目</w:t>
      </w:r>
      <w:r>
        <w:rPr>
          <w:rFonts w:hint="eastAsia" w:ascii="华文仿宋" w:hAnsi="华文仿宋" w:eastAsia="华文仿宋" w:cs="仿宋"/>
          <w:color w:val="000000"/>
          <w:sz w:val="30"/>
          <w:szCs w:val="30"/>
          <w:highlight w:val="white"/>
        </w:rPr>
        <w:t>是指以由财政部门开展的评价对象为本部门政策、项目或整体支出的绩效评价项目。</w:t>
      </w:r>
    </w:p>
    <w:p>
      <w:pPr>
        <w:pStyle w:val="22"/>
        <w:ind w:firstLine="601" w:firstLineChars="200"/>
        <w:outlineLvl w:val="0"/>
        <w:rPr>
          <w:rFonts w:cs="Times New Roman"/>
          <w:highlight w:val="white"/>
        </w:rPr>
      </w:pPr>
      <w:bookmarkStart w:id="19" w:name="_Toc23494"/>
      <w:r>
        <w:rPr>
          <w:rFonts w:hint="eastAsia"/>
          <w:highlight w:val="white"/>
        </w:rPr>
        <w:t>四、名词解释</w:t>
      </w:r>
      <w:bookmarkEnd w:id="19"/>
    </w:p>
    <w:p>
      <w:pPr>
        <w:autoSpaceDE w:val="0"/>
        <w:autoSpaceDN w:val="0"/>
        <w:adjustRightInd w:val="0"/>
        <w:spacing w:line="324" w:lineRule="auto"/>
        <w:ind w:firstLine="600" w:firstLineChars="200"/>
        <w:rPr>
          <w:rFonts w:ascii="华文仿宋" w:hAnsi="华文仿宋" w:eastAsia="华文仿宋" w:cs="仿宋"/>
          <w:color w:val="000000"/>
          <w:sz w:val="30"/>
          <w:szCs w:val="30"/>
          <w:highlight w:val="white"/>
        </w:rPr>
      </w:pPr>
      <w:r>
        <w:rPr>
          <w:rFonts w:hint="eastAsia" w:ascii="华文仿宋" w:hAnsi="华文仿宋" w:eastAsia="华文仿宋" w:cs="仿宋"/>
          <w:color w:val="000000"/>
          <w:sz w:val="30"/>
          <w:szCs w:val="30"/>
          <w:highlight w:val="white"/>
        </w:rPr>
        <w:t>1.财政拨款收入：指本级财政部门当年拨付的财政预算资金，包括一般公共预算财政拨款和政府性基金预算财政拨款。</w:t>
      </w:r>
    </w:p>
    <w:p>
      <w:pPr>
        <w:autoSpaceDE w:val="0"/>
        <w:autoSpaceDN w:val="0"/>
        <w:adjustRightInd w:val="0"/>
        <w:spacing w:line="324" w:lineRule="auto"/>
        <w:ind w:firstLine="600" w:firstLineChars="200"/>
        <w:rPr>
          <w:rFonts w:ascii="华文仿宋" w:hAnsi="华文仿宋" w:eastAsia="华文仿宋" w:cs="仿宋"/>
          <w:color w:val="000000"/>
          <w:sz w:val="30"/>
          <w:szCs w:val="30"/>
          <w:highlight w:val="white"/>
        </w:rPr>
      </w:pPr>
      <w:r>
        <w:rPr>
          <w:rFonts w:hint="eastAsia" w:ascii="华文仿宋" w:hAnsi="华文仿宋" w:eastAsia="华文仿宋" w:cs="仿宋"/>
          <w:color w:val="000000"/>
          <w:sz w:val="30"/>
          <w:szCs w:val="30"/>
          <w:highlight w:val="white"/>
        </w:rPr>
        <w:t>2.事业收入：指事业单位开展专业业务活动及辅助活动所取得的收入。</w:t>
      </w:r>
    </w:p>
    <w:p>
      <w:pPr>
        <w:autoSpaceDE w:val="0"/>
        <w:autoSpaceDN w:val="0"/>
        <w:adjustRightInd w:val="0"/>
        <w:spacing w:line="324" w:lineRule="auto"/>
        <w:ind w:firstLine="600" w:firstLineChars="200"/>
        <w:rPr>
          <w:rFonts w:ascii="华文仿宋" w:hAnsi="华文仿宋" w:eastAsia="华文仿宋" w:cs="仿宋"/>
          <w:color w:val="000000"/>
          <w:sz w:val="30"/>
          <w:szCs w:val="30"/>
          <w:highlight w:val="white"/>
        </w:rPr>
      </w:pPr>
      <w:r>
        <w:rPr>
          <w:rFonts w:hint="eastAsia" w:ascii="华文仿宋" w:hAnsi="华文仿宋" w:eastAsia="华文仿宋" w:cs="仿宋"/>
          <w:color w:val="000000"/>
          <w:sz w:val="30"/>
          <w:szCs w:val="30"/>
          <w:highlight w:val="white"/>
        </w:rPr>
        <w:t>3.经营收入：指事业单位在专业业务活动及辅助活动之外开展非独立核算经营活动取得的收入。</w:t>
      </w:r>
    </w:p>
    <w:p>
      <w:pPr>
        <w:autoSpaceDE w:val="0"/>
        <w:autoSpaceDN w:val="0"/>
        <w:adjustRightInd w:val="0"/>
        <w:spacing w:line="324" w:lineRule="auto"/>
        <w:ind w:firstLine="600" w:firstLineChars="200"/>
        <w:rPr>
          <w:rFonts w:ascii="华文仿宋" w:hAnsi="华文仿宋" w:eastAsia="华文仿宋" w:cs="仿宋"/>
          <w:color w:val="000000"/>
          <w:sz w:val="30"/>
          <w:szCs w:val="30"/>
          <w:highlight w:val="white"/>
        </w:rPr>
      </w:pPr>
      <w:r>
        <w:rPr>
          <w:rFonts w:hint="eastAsia" w:ascii="华文仿宋" w:hAnsi="华文仿宋" w:eastAsia="华文仿宋" w:cs="仿宋"/>
          <w:color w:val="000000"/>
          <w:sz w:val="30"/>
          <w:szCs w:val="30"/>
          <w:highlight w:val="white"/>
        </w:rPr>
        <w:t>4.其他收入：指预算单位在</w:t>
      </w:r>
      <w:r>
        <w:rPr>
          <w:rFonts w:ascii="华文仿宋" w:hAnsi="华文仿宋" w:eastAsia="华文仿宋" w:cs="仿宋"/>
          <w:color w:val="000000"/>
          <w:sz w:val="30"/>
          <w:szCs w:val="30"/>
          <w:highlight w:val="white"/>
        </w:rPr>
        <w:t>“</w:t>
      </w:r>
      <w:r>
        <w:rPr>
          <w:rFonts w:hint="eastAsia" w:ascii="华文仿宋" w:hAnsi="华文仿宋" w:eastAsia="华文仿宋" w:cs="仿宋"/>
          <w:color w:val="000000"/>
          <w:sz w:val="30"/>
          <w:szCs w:val="30"/>
          <w:highlight w:val="white"/>
        </w:rPr>
        <w:t>财政拨款</w:t>
      </w:r>
      <w:r>
        <w:rPr>
          <w:rFonts w:ascii="华文仿宋" w:hAnsi="华文仿宋" w:eastAsia="华文仿宋" w:cs="仿宋"/>
          <w:color w:val="000000"/>
          <w:sz w:val="30"/>
          <w:szCs w:val="30"/>
          <w:highlight w:val="white"/>
        </w:rPr>
        <w:t>”</w:t>
      </w:r>
      <w:r>
        <w:rPr>
          <w:rFonts w:hint="eastAsia" w:ascii="华文仿宋" w:hAnsi="华文仿宋" w:eastAsia="华文仿宋" w:cs="仿宋"/>
          <w:color w:val="000000"/>
          <w:sz w:val="30"/>
          <w:szCs w:val="30"/>
          <w:highlight w:val="white"/>
        </w:rPr>
        <w:t>、</w:t>
      </w:r>
      <w:r>
        <w:rPr>
          <w:rFonts w:ascii="华文仿宋" w:hAnsi="华文仿宋" w:eastAsia="华文仿宋" w:cs="仿宋"/>
          <w:color w:val="000000"/>
          <w:sz w:val="30"/>
          <w:szCs w:val="30"/>
          <w:highlight w:val="white"/>
        </w:rPr>
        <w:t>“</w:t>
      </w:r>
      <w:r>
        <w:rPr>
          <w:rFonts w:hint="eastAsia" w:ascii="华文仿宋" w:hAnsi="华文仿宋" w:eastAsia="华文仿宋" w:cs="仿宋"/>
          <w:color w:val="000000"/>
          <w:sz w:val="30"/>
          <w:szCs w:val="30"/>
          <w:highlight w:val="white"/>
        </w:rPr>
        <w:t>事业收入</w:t>
      </w:r>
      <w:r>
        <w:rPr>
          <w:rFonts w:ascii="华文仿宋" w:hAnsi="华文仿宋" w:eastAsia="华文仿宋" w:cs="仿宋"/>
          <w:color w:val="000000"/>
          <w:sz w:val="30"/>
          <w:szCs w:val="30"/>
          <w:highlight w:val="white"/>
        </w:rPr>
        <w:t>”</w:t>
      </w:r>
      <w:r>
        <w:rPr>
          <w:rFonts w:hint="eastAsia" w:ascii="华文仿宋" w:hAnsi="华文仿宋" w:eastAsia="华文仿宋" w:cs="仿宋"/>
          <w:color w:val="000000"/>
          <w:sz w:val="30"/>
          <w:szCs w:val="30"/>
          <w:highlight w:val="white"/>
        </w:rPr>
        <w:t>、</w:t>
      </w:r>
      <w:r>
        <w:rPr>
          <w:rFonts w:ascii="华文仿宋" w:hAnsi="华文仿宋" w:eastAsia="华文仿宋" w:cs="仿宋"/>
          <w:color w:val="000000"/>
          <w:sz w:val="30"/>
          <w:szCs w:val="30"/>
          <w:highlight w:val="white"/>
        </w:rPr>
        <w:t>“</w:t>
      </w:r>
      <w:r>
        <w:rPr>
          <w:rFonts w:hint="eastAsia" w:ascii="华文仿宋" w:hAnsi="华文仿宋" w:eastAsia="华文仿宋" w:cs="仿宋"/>
          <w:color w:val="000000"/>
          <w:sz w:val="30"/>
          <w:szCs w:val="30"/>
          <w:highlight w:val="white"/>
        </w:rPr>
        <w:t>经营收入</w:t>
      </w:r>
      <w:r>
        <w:rPr>
          <w:rFonts w:ascii="华文仿宋" w:hAnsi="华文仿宋" w:eastAsia="华文仿宋" w:cs="仿宋"/>
          <w:color w:val="000000"/>
          <w:sz w:val="30"/>
          <w:szCs w:val="30"/>
          <w:highlight w:val="white"/>
        </w:rPr>
        <w:t>”</w:t>
      </w:r>
      <w:r>
        <w:rPr>
          <w:rFonts w:hint="eastAsia" w:ascii="华文仿宋" w:hAnsi="华文仿宋" w:eastAsia="华文仿宋" w:cs="仿宋"/>
          <w:color w:val="000000"/>
          <w:sz w:val="30"/>
          <w:szCs w:val="30"/>
          <w:highlight w:val="white"/>
        </w:rPr>
        <w:t>、</w:t>
      </w:r>
      <w:r>
        <w:rPr>
          <w:rFonts w:ascii="华文仿宋" w:hAnsi="华文仿宋" w:eastAsia="华文仿宋" w:cs="仿宋"/>
          <w:color w:val="000000"/>
          <w:sz w:val="30"/>
          <w:szCs w:val="30"/>
          <w:highlight w:val="white"/>
        </w:rPr>
        <w:t>“</w:t>
      </w:r>
      <w:r>
        <w:rPr>
          <w:rFonts w:hint="eastAsia" w:ascii="华文仿宋" w:hAnsi="华文仿宋" w:eastAsia="华文仿宋" w:cs="仿宋"/>
          <w:color w:val="000000"/>
          <w:sz w:val="30"/>
          <w:szCs w:val="30"/>
          <w:highlight w:val="white"/>
        </w:rPr>
        <w:t>上级补助收入</w:t>
      </w:r>
      <w:r>
        <w:rPr>
          <w:rFonts w:ascii="华文仿宋" w:hAnsi="华文仿宋" w:eastAsia="华文仿宋" w:cs="仿宋"/>
          <w:color w:val="000000"/>
          <w:sz w:val="30"/>
          <w:szCs w:val="30"/>
          <w:highlight w:val="white"/>
        </w:rPr>
        <w:t>”</w:t>
      </w:r>
      <w:r>
        <w:rPr>
          <w:rFonts w:hint="eastAsia" w:ascii="华文仿宋" w:hAnsi="华文仿宋" w:eastAsia="华文仿宋" w:cs="仿宋"/>
          <w:color w:val="000000"/>
          <w:sz w:val="30"/>
          <w:szCs w:val="30"/>
          <w:highlight w:val="white"/>
        </w:rPr>
        <w:t>、</w:t>
      </w:r>
      <w:r>
        <w:rPr>
          <w:rFonts w:ascii="华文仿宋" w:hAnsi="华文仿宋" w:eastAsia="华文仿宋" w:cs="仿宋"/>
          <w:color w:val="000000"/>
          <w:sz w:val="30"/>
          <w:szCs w:val="30"/>
          <w:highlight w:val="white"/>
        </w:rPr>
        <w:t>“</w:t>
      </w:r>
      <w:r>
        <w:rPr>
          <w:rFonts w:hint="eastAsia" w:ascii="华文仿宋" w:hAnsi="华文仿宋" w:eastAsia="华文仿宋" w:cs="仿宋"/>
          <w:color w:val="000000"/>
          <w:sz w:val="30"/>
          <w:szCs w:val="30"/>
          <w:highlight w:val="white"/>
        </w:rPr>
        <w:t>附属单位上缴收入</w:t>
      </w:r>
      <w:r>
        <w:rPr>
          <w:rFonts w:ascii="华文仿宋" w:hAnsi="华文仿宋" w:eastAsia="华文仿宋" w:cs="仿宋"/>
          <w:color w:val="000000"/>
          <w:sz w:val="30"/>
          <w:szCs w:val="30"/>
          <w:highlight w:val="white"/>
        </w:rPr>
        <w:t>”</w:t>
      </w:r>
      <w:r>
        <w:rPr>
          <w:rFonts w:hint="eastAsia" w:ascii="华文仿宋" w:hAnsi="华文仿宋" w:eastAsia="华文仿宋" w:cs="仿宋"/>
          <w:color w:val="000000"/>
          <w:sz w:val="30"/>
          <w:szCs w:val="30"/>
          <w:highlight w:val="white"/>
        </w:rPr>
        <w:t>等之外取得的各项收入。</w:t>
      </w:r>
    </w:p>
    <w:p>
      <w:pPr>
        <w:autoSpaceDE w:val="0"/>
        <w:autoSpaceDN w:val="0"/>
        <w:adjustRightInd w:val="0"/>
        <w:spacing w:line="324" w:lineRule="auto"/>
        <w:ind w:firstLine="600" w:firstLineChars="200"/>
        <w:rPr>
          <w:rFonts w:ascii="华文仿宋" w:hAnsi="华文仿宋" w:eastAsia="华文仿宋" w:cs="仿宋"/>
          <w:color w:val="000000"/>
          <w:sz w:val="30"/>
          <w:szCs w:val="30"/>
          <w:highlight w:val="white"/>
        </w:rPr>
      </w:pPr>
      <w:r>
        <w:rPr>
          <w:rFonts w:hint="eastAsia" w:ascii="华文仿宋" w:hAnsi="华文仿宋" w:eastAsia="华文仿宋" w:cs="仿宋"/>
          <w:color w:val="000000"/>
          <w:sz w:val="30"/>
          <w:szCs w:val="30"/>
          <w:highlight w:val="white"/>
        </w:rPr>
        <w:t>5.用事业基金弥补收支差额：指事业单位当年的</w:t>
      </w:r>
      <w:r>
        <w:rPr>
          <w:rFonts w:ascii="华文仿宋" w:hAnsi="华文仿宋" w:eastAsia="华文仿宋" w:cs="仿宋"/>
          <w:color w:val="000000"/>
          <w:sz w:val="30"/>
          <w:szCs w:val="30"/>
          <w:highlight w:val="white"/>
        </w:rPr>
        <w:t>“</w:t>
      </w:r>
      <w:r>
        <w:rPr>
          <w:rFonts w:hint="eastAsia" w:ascii="华文仿宋" w:hAnsi="华文仿宋" w:eastAsia="华文仿宋" w:cs="仿宋"/>
          <w:color w:val="000000"/>
          <w:sz w:val="30"/>
          <w:szCs w:val="30"/>
          <w:highlight w:val="white"/>
        </w:rPr>
        <w:t>财政拨款收入</w:t>
      </w:r>
      <w:r>
        <w:rPr>
          <w:rFonts w:ascii="华文仿宋" w:hAnsi="华文仿宋" w:eastAsia="华文仿宋" w:cs="仿宋"/>
          <w:color w:val="000000"/>
          <w:sz w:val="30"/>
          <w:szCs w:val="30"/>
          <w:highlight w:val="white"/>
        </w:rPr>
        <w:t>”“</w:t>
      </w:r>
      <w:r>
        <w:rPr>
          <w:rFonts w:hint="eastAsia" w:ascii="华文仿宋" w:hAnsi="华文仿宋" w:eastAsia="华文仿宋" w:cs="仿宋"/>
          <w:color w:val="000000"/>
          <w:sz w:val="30"/>
          <w:szCs w:val="30"/>
          <w:highlight w:val="white"/>
        </w:rPr>
        <w:t>事业收入</w:t>
      </w:r>
      <w:r>
        <w:rPr>
          <w:rFonts w:ascii="华文仿宋" w:hAnsi="华文仿宋" w:eastAsia="华文仿宋" w:cs="仿宋"/>
          <w:color w:val="000000"/>
          <w:sz w:val="30"/>
          <w:szCs w:val="30"/>
          <w:highlight w:val="white"/>
        </w:rPr>
        <w:t>”“</w:t>
      </w:r>
      <w:r>
        <w:rPr>
          <w:rFonts w:hint="eastAsia" w:ascii="华文仿宋" w:hAnsi="华文仿宋" w:eastAsia="华文仿宋" w:cs="仿宋"/>
          <w:color w:val="000000"/>
          <w:sz w:val="30"/>
          <w:szCs w:val="30"/>
          <w:highlight w:val="white"/>
        </w:rPr>
        <w:t>其他收入</w:t>
      </w:r>
      <w:r>
        <w:rPr>
          <w:rFonts w:ascii="华文仿宋" w:hAnsi="华文仿宋" w:eastAsia="华文仿宋" w:cs="仿宋"/>
          <w:color w:val="000000"/>
          <w:sz w:val="30"/>
          <w:szCs w:val="30"/>
          <w:highlight w:val="white"/>
        </w:rPr>
        <w:t>”</w:t>
      </w:r>
      <w:r>
        <w:rPr>
          <w:rFonts w:hint="eastAsia" w:ascii="华文仿宋" w:hAnsi="华文仿宋" w:eastAsia="华文仿宋" w:cs="仿宋"/>
          <w:color w:val="000000"/>
          <w:sz w:val="30"/>
          <w:szCs w:val="30"/>
          <w:highlight w:val="white"/>
        </w:rPr>
        <w:t>等不足以安排当年支出的情况下，使用以前年度积累的事业基金弥补本年收支缺口的资金。</w:t>
      </w:r>
    </w:p>
    <w:p>
      <w:pPr>
        <w:autoSpaceDE w:val="0"/>
        <w:autoSpaceDN w:val="0"/>
        <w:adjustRightInd w:val="0"/>
        <w:spacing w:line="324" w:lineRule="auto"/>
        <w:ind w:firstLine="600" w:firstLineChars="200"/>
        <w:rPr>
          <w:rFonts w:ascii="华文仿宋" w:hAnsi="华文仿宋" w:eastAsia="华文仿宋" w:cs="仿宋"/>
          <w:color w:val="000000"/>
          <w:sz w:val="30"/>
          <w:szCs w:val="30"/>
          <w:highlight w:val="white"/>
        </w:rPr>
      </w:pPr>
      <w:r>
        <w:rPr>
          <w:rFonts w:hint="eastAsia" w:ascii="华文仿宋" w:hAnsi="华文仿宋" w:eastAsia="华文仿宋" w:cs="仿宋"/>
          <w:color w:val="000000"/>
          <w:sz w:val="30"/>
          <w:szCs w:val="30"/>
          <w:highlight w:val="white"/>
        </w:rPr>
        <w:t>6.年初结转和结余：指预算单位以前年度尚未完成、结转到本年仍按原规定用途继续使用的资金。</w:t>
      </w:r>
    </w:p>
    <w:p>
      <w:pPr>
        <w:autoSpaceDE w:val="0"/>
        <w:autoSpaceDN w:val="0"/>
        <w:adjustRightInd w:val="0"/>
        <w:spacing w:line="324" w:lineRule="auto"/>
        <w:ind w:firstLine="600" w:firstLineChars="200"/>
        <w:rPr>
          <w:rFonts w:ascii="华文仿宋" w:hAnsi="华文仿宋" w:eastAsia="华文仿宋" w:cs="仿宋"/>
          <w:color w:val="000000"/>
          <w:sz w:val="30"/>
          <w:szCs w:val="30"/>
          <w:highlight w:val="white"/>
        </w:rPr>
      </w:pPr>
      <w:r>
        <w:rPr>
          <w:rFonts w:hint="eastAsia" w:ascii="华文仿宋" w:hAnsi="华文仿宋" w:eastAsia="华文仿宋" w:cs="仿宋"/>
          <w:color w:val="000000"/>
          <w:sz w:val="30"/>
          <w:szCs w:val="30"/>
          <w:highlight w:val="white"/>
        </w:rPr>
        <w:t>7.年末结转和结余：指单位按有关规定结转到下年或以后年度继续使用的资金。</w:t>
      </w:r>
    </w:p>
    <w:p>
      <w:pPr>
        <w:autoSpaceDE w:val="0"/>
        <w:autoSpaceDN w:val="0"/>
        <w:adjustRightInd w:val="0"/>
        <w:spacing w:line="324" w:lineRule="auto"/>
        <w:ind w:firstLine="600" w:firstLineChars="200"/>
        <w:rPr>
          <w:rFonts w:ascii="华文仿宋" w:hAnsi="华文仿宋" w:eastAsia="华文仿宋" w:cs="仿宋"/>
          <w:color w:val="000000"/>
          <w:sz w:val="30"/>
          <w:szCs w:val="30"/>
          <w:highlight w:val="white"/>
        </w:rPr>
      </w:pPr>
      <w:r>
        <w:rPr>
          <w:rFonts w:hint="eastAsia" w:ascii="华文仿宋" w:hAnsi="华文仿宋" w:eastAsia="华文仿宋" w:cs="仿宋"/>
          <w:color w:val="000000"/>
          <w:sz w:val="30"/>
          <w:szCs w:val="30"/>
          <w:highlight w:val="white"/>
        </w:rPr>
        <w:t>8.基本支出：指预算单位为保障其正常运转，完成日常工作任务所发生的支出，包括人员经费支出和日常公用经费支出。</w:t>
      </w:r>
    </w:p>
    <w:p>
      <w:pPr>
        <w:autoSpaceDE w:val="0"/>
        <w:autoSpaceDN w:val="0"/>
        <w:adjustRightInd w:val="0"/>
        <w:spacing w:line="324" w:lineRule="auto"/>
        <w:ind w:firstLine="600" w:firstLineChars="200"/>
        <w:rPr>
          <w:rFonts w:ascii="华文仿宋" w:hAnsi="华文仿宋" w:eastAsia="华文仿宋" w:cs="仿宋"/>
          <w:color w:val="000000"/>
          <w:sz w:val="30"/>
          <w:szCs w:val="30"/>
          <w:highlight w:val="white"/>
        </w:rPr>
      </w:pPr>
      <w:r>
        <w:rPr>
          <w:rFonts w:hint="eastAsia" w:ascii="华文仿宋" w:hAnsi="华文仿宋" w:eastAsia="华文仿宋" w:cs="仿宋"/>
          <w:color w:val="000000"/>
          <w:sz w:val="30"/>
          <w:szCs w:val="30"/>
          <w:highlight w:val="white"/>
        </w:rPr>
        <w:t>9.项目支出：指预算单位为完成其特定的行政工作任务或事业发展目标所发生的支出。</w:t>
      </w:r>
    </w:p>
    <w:p>
      <w:pPr>
        <w:autoSpaceDE w:val="0"/>
        <w:autoSpaceDN w:val="0"/>
        <w:adjustRightInd w:val="0"/>
        <w:spacing w:line="324" w:lineRule="auto"/>
        <w:ind w:firstLine="600" w:firstLineChars="200"/>
        <w:rPr>
          <w:rFonts w:ascii="华文仿宋" w:hAnsi="华文仿宋" w:eastAsia="华文仿宋" w:cs="仿宋"/>
          <w:color w:val="000000"/>
          <w:sz w:val="30"/>
          <w:szCs w:val="30"/>
          <w:highlight w:val="white"/>
        </w:rPr>
      </w:pPr>
      <w:r>
        <w:rPr>
          <w:rFonts w:hint="eastAsia" w:ascii="华文仿宋" w:hAnsi="华文仿宋" w:eastAsia="华文仿宋" w:cs="仿宋"/>
          <w:color w:val="000000"/>
          <w:sz w:val="30"/>
          <w:szCs w:val="30"/>
          <w:highlight w:val="white"/>
        </w:rPr>
        <w:t>10.经营支出：指事业单位在专业业务活动及其辅助活动之外开展非独立核算经营活动发生的支出。</w:t>
      </w:r>
    </w:p>
    <w:p>
      <w:pPr>
        <w:autoSpaceDE w:val="0"/>
        <w:autoSpaceDN w:val="0"/>
        <w:adjustRightInd w:val="0"/>
        <w:spacing w:line="324" w:lineRule="auto"/>
        <w:ind w:firstLine="600" w:firstLineChars="200"/>
        <w:rPr>
          <w:rFonts w:ascii="华文仿宋" w:hAnsi="华文仿宋" w:eastAsia="华文仿宋" w:cs="仿宋"/>
          <w:color w:val="000000"/>
          <w:sz w:val="30"/>
          <w:szCs w:val="30"/>
          <w:highlight w:val="white"/>
        </w:rPr>
      </w:pPr>
      <w:r>
        <w:rPr>
          <w:rFonts w:hint="eastAsia" w:ascii="华文仿宋" w:hAnsi="华文仿宋" w:eastAsia="华文仿宋" w:cs="仿宋"/>
          <w:color w:val="000000"/>
          <w:sz w:val="30"/>
          <w:szCs w:val="30"/>
          <w:highlight w:val="white"/>
        </w:rPr>
        <w:t>11.</w:t>
      </w:r>
      <w:r>
        <w:rPr>
          <w:rFonts w:ascii="华文仿宋" w:hAnsi="华文仿宋" w:eastAsia="华文仿宋" w:cs="仿宋"/>
          <w:color w:val="000000"/>
          <w:sz w:val="30"/>
          <w:szCs w:val="30"/>
          <w:highlight w:val="white"/>
        </w:rPr>
        <w:t>“</w:t>
      </w:r>
      <w:r>
        <w:rPr>
          <w:rFonts w:hint="eastAsia" w:ascii="华文仿宋" w:hAnsi="华文仿宋" w:eastAsia="华文仿宋" w:cs="仿宋"/>
          <w:color w:val="000000"/>
          <w:sz w:val="30"/>
          <w:szCs w:val="30"/>
          <w:highlight w:val="white"/>
        </w:rPr>
        <w:t>三公</w:t>
      </w:r>
      <w:r>
        <w:rPr>
          <w:rFonts w:ascii="华文仿宋" w:hAnsi="华文仿宋" w:eastAsia="华文仿宋" w:cs="仿宋"/>
          <w:color w:val="000000"/>
          <w:sz w:val="30"/>
          <w:szCs w:val="30"/>
          <w:highlight w:val="white"/>
        </w:rPr>
        <w:t>”</w:t>
      </w:r>
      <w:r>
        <w:rPr>
          <w:rFonts w:hint="eastAsia" w:ascii="华文仿宋" w:hAnsi="华文仿宋" w:eastAsia="华文仿宋" w:cs="仿宋"/>
          <w:color w:val="000000"/>
          <w:sz w:val="30"/>
          <w:szCs w:val="30"/>
          <w:highlight w:val="white"/>
        </w:rPr>
        <w:t>经费：纳入财政预决算管理的</w:t>
      </w:r>
      <w:r>
        <w:rPr>
          <w:rFonts w:ascii="华文仿宋" w:hAnsi="华文仿宋" w:eastAsia="华文仿宋" w:cs="仿宋"/>
          <w:color w:val="000000"/>
          <w:sz w:val="30"/>
          <w:szCs w:val="30"/>
          <w:highlight w:val="white"/>
        </w:rPr>
        <w:t>“</w:t>
      </w:r>
      <w:r>
        <w:rPr>
          <w:rFonts w:hint="eastAsia" w:ascii="华文仿宋" w:hAnsi="华文仿宋" w:eastAsia="华文仿宋" w:cs="仿宋"/>
          <w:color w:val="000000"/>
          <w:sz w:val="30"/>
          <w:szCs w:val="30"/>
          <w:highlight w:val="white"/>
        </w:rPr>
        <w:t>三公</w:t>
      </w:r>
      <w:r>
        <w:rPr>
          <w:rFonts w:ascii="华文仿宋" w:hAnsi="华文仿宋" w:eastAsia="华文仿宋" w:cs="仿宋"/>
          <w:color w:val="000000"/>
          <w:sz w:val="30"/>
          <w:szCs w:val="30"/>
          <w:highlight w:val="white"/>
        </w:rPr>
        <w:t>”</w:t>
      </w:r>
      <w:r>
        <w:rPr>
          <w:rFonts w:hint="eastAsia" w:ascii="华文仿宋" w:hAnsi="华文仿宋" w:eastAsia="华文仿宋" w:cs="仿宋"/>
          <w:color w:val="000000"/>
          <w:sz w:val="30"/>
          <w:szCs w:val="30"/>
          <w:highlight w:val="white"/>
        </w:rPr>
        <w:t>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pPr>
        <w:autoSpaceDE w:val="0"/>
        <w:autoSpaceDN w:val="0"/>
        <w:adjustRightInd w:val="0"/>
        <w:spacing w:line="324" w:lineRule="auto"/>
        <w:ind w:firstLine="600" w:firstLineChars="200"/>
        <w:rPr>
          <w:rFonts w:ascii="华文仿宋" w:hAnsi="华文仿宋" w:eastAsia="华文仿宋" w:cs="仿宋"/>
          <w:color w:val="000000"/>
          <w:sz w:val="30"/>
          <w:szCs w:val="30"/>
          <w:highlight w:val="white"/>
        </w:rPr>
      </w:pPr>
      <w:r>
        <w:rPr>
          <w:rFonts w:hint="eastAsia" w:ascii="华文仿宋" w:hAnsi="华文仿宋" w:eastAsia="华文仿宋" w:cs="仿宋"/>
          <w:color w:val="000000"/>
          <w:sz w:val="30"/>
          <w:szCs w:val="30"/>
          <w:highlight w:val="white"/>
        </w:rPr>
        <w:t>12.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autoSpaceDE w:val="0"/>
        <w:autoSpaceDN w:val="0"/>
        <w:adjustRightInd w:val="0"/>
        <w:spacing w:line="324" w:lineRule="auto"/>
        <w:ind w:firstLine="600" w:firstLineChars="200"/>
        <w:rPr>
          <w:rFonts w:ascii="华文仿宋" w:hAnsi="华文仿宋" w:eastAsia="华文仿宋" w:cs="仿宋"/>
          <w:color w:val="000000"/>
          <w:sz w:val="30"/>
          <w:szCs w:val="30"/>
          <w:highlight w:val="white"/>
        </w:rPr>
      </w:pPr>
      <w:r>
        <w:rPr>
          <w:rFonts w:hint="eastAsia" w:ascii="华文仿宋" w:hAnsi="华文仿宋" w:eastAsia="华文仿宋" w:cs="仿宋"/>
          <w:color w:val="000000"/>
          <w:sz w:val="30"/>
          <w:szCs w:val="30"/>
          <w:highlight w:val="white"/>
        </w:rPr>
        <w:t>13.</w:t>
      </w:r>
      <w:r>
        <w:rPr>
          <w:rFonts w:hint="eastAsia" w:ascii="华文仿宋" w:hAnsi="华文仿宋" w:eastAsia="华文仿宋" w:cs="仿宋"/>
          <w:color w:val="000000"/>
          <w:sz w:val="30"/>
          <w:szCs w:val="30"/>
        </w:rPr>
        <w:t xml:space="preserve"> 一般公共服务支出</w:t>
      </w:r>
      <w:r>
        <w:rPr>
          <w:rFonts w:hint="eastAsia" w:ascii="华文仿宋" w:hAnsi="华文仿宋" w:eastAsia="华文仿宋" w:cs="仿宋"/>
          <w:color w:val="000000"/>
          <w:sz w:val="30"/>
          <w:szCs w:val="30"/>
          <w:highlight w:val="white"/>
        </w:rPr>
        <w:t>（类）</w:t>
      </w:r>
      <w:r>
        <w:rPr>
          <w:rFonts w:hint="eastAsia" w:ascii="华文仿宋" w:hAnsi="华文仿宋" w:eastAsia="华文仿宋" w:cs="仿宋"/>
          <w:color w:val="000000"/>
          <w:sz w:val="30"/>
          <w:szCs w:val="30"/>
        </w:rPr>
        <w:t>人力资源事务</w:t>
      </w:r>
      <w:r>
        <w:rPr>
          <w:rFonts w:hint="eastAsia" w:ascii="华文仿宋" w:hAnsi="华文仿宋" w:eastAsia="华文仿宋" w:cs="仿宋"/>
          <w:color w:val="000000"/>
          <w:sz w:val="30"/>
          <w:szCs w:val="30"/>
          <w:highlight w:val="white"/>
        </w:rPr>
        <w:t>（款）</w:t>
      </w:r>
      <w:r>
        <w:rPr>
          <w:rFonts w:hint="eastAsia" w:ascii="华文仿宋" w:hAnsi="华文仿宋" w:eastAsia="华文仿宋" w:cs="仿宋"/>
          <w:color w:val="000000"/>
          <w:sz w:val="30"/>
          <w:szCs w:val="30"/>
        </w:rPr>
        <w:t>其他人力资源事务支出</w:t>
      </w:r>
      <w:r>
        <w:rPr>
          <w:rFonts w:hint="eastAsia" w:ascii="华文仿宋" w:hAnsi="华文仿宋" w:eastAsia="华文仿宋" w:cs="仿宋"/>
          <w:color w:val="000000"/>
          <w:sz w:val="30"/>
          <w:szCs w:val="30"/>
          <w:highlight w:val="white"/>
        </w:rPr>
        <w:t>（项）：反映除上述项目以外其他人力资源事务方面的支出。</w:t>
      </w:r>
    </w:p>
    <w:p>
      <w:pPr>
        <w:autoSpaceDE w:val="0"/>
        <w:autoSpaceDN w:val="0"/>
        <w:adjustRightInd w:val="0"/>
        <w:spacing w:line="324" w:lineRule="auto"/>
        <w:ind w:firstLine="600" w:firstLineChars="200"/>
        <w:rPr>
          <w:rFonts w:ascii="华文仿宋" w:hAnsi="华文仿宋" w:eastAsia="华文仿宋" w:cs="仿宋"/>
          <w:color w:val="000000"/>
          <w:sz w:val="30"/>
          <w:szCs w:val="30"/>
          <w:highlight w:val="white"/>
        </w:rPr>
      </w:pPr>
      <w:r>
        <w:rPr>
          <w:rFonts w:hint="eastAsia" w:ascii="华文仿宋" w:hAnsi="华文仿宋" w:eastAsia="华文仿宋" w:cs="仿宋"/>
          <w:color w:val="000000"/>
          <w:sz w:val="30"/>
          <w:szCs w:val="30"/>
        </w:rPr>
        <w:t>14.一般公共服务支出</w:t>
      </w:r>
      <w:r>
        <w:rPr>
          <w:rFonts w:hint="eastAsia" w:ascii="华文仿宋" w:hAnsi="华文仿宋" w:eastAsia="华文仿宋" w:cs="仿宋"/>
          <w:color w:val="000000"/>
          <w:sz w:val="30"/>
          <w:szCs w:val="30"/>
          <w:highlight w:val="white"/>
        </w:rPr>
        <w:t>（类</w:t>
      </w:r>
      <w:r>
        <w:rPr>
          <w:rFonts w:hint="eastAsia" w:ascii="华文仿宋" w:hAnsi="华文仿宋" w:eastAsia="华文仿宋" w:cs="仿宋"/>
          <w:color w:val="000000"/>
          <w:sz w:val="30"/>
          <w:szCs w:val="30"/>
        </w:rPr>
        <w:t>）组织事务</w:t>
      </w:r>
      <w:r>
        <w:rPr>
          <w:rFonts w:hint="eastAsia" w:ascii="华文仿宋" w:hAnsi="华文仿宋" w:eastAsia="华文仿宋" w:cs="仿宋"/>
          <w:color w:val="000000"/>
          <w:sz w:val="30"/>
          <w:szCs w:val="30"/>
          <w:highlight w:val="white"/>
        </w:rPr>
        <w:t>（款）</w:t>
      </w:r>
      <w:r>
        <w:rPr>
          <w:rFonts w:hint="eastAsia" w:ascii="华文仿宋" w:hAnsi="华文仿宋" w:eastAsia="华文仿宋" w:cs="仿宋"/>
          <w:color w:val="000000"/>
          <w:sz w:val="30"/>
          <w:szCs w:val="30"/>
        </w:rPr>
        <w:t>其他组织事务支出</w:t>
      </w:r>
      <w:r>
        <w:rPr>
          <w:rFonts w:hint="eastAsia" w:ascii="华文仿宋" w:hAnsi="华文仿宋" w:eastAsia="华文仿宋" w:cs="仿宋"/>
          <w:color w:val="000000"/>
          <w:sz w:val="30"/>
          <w:szCs w:val="30"/>
          <w:highlight w:val="white"/>
        </w:rPr>
        <w:t>（项）：反映除上述项目以外其他用于中国共产党组织部门事务的支出。</w:t>
      </w:r>
    </w:p>
    <w:p>
      <w:pPr>
        <w:autoSpaceDE w:val="0"/>
        <w:autoSpaceDN w:val="0"/>
        <w:adjustRightInd w:val="0"/>
        <w:spacing w:line="324" w:lineRule="auto"/>
        <w:ind w:firstLine="600" w:firstLineChars="200"/>
        <w:rPr>
          <w:rFonts w:ascii="华文仿宋" w:hAnsi="华文仿宋" w:eastAsia="华文仿宋" w:cs="仿宋"/>
          <w:color w:val="000000"/>
          <w:sz w:val="30"/>
          <w:szCs w:val="30"/>
          <w:highlight w:val="white"/>
        </w:rPr>
      </w:pPr>
      <w:r>
        <w:rPr>
          <w:rFonts w:hint="eastAsia" w:ascii="华文仿宋" w:hAnsi="华文仿宋" w:eastAsia="华文仿宋" w:cs="仿宋"/>
          <w:color w:val="000000"/>
          <w:sz w:val="30"/>
          <w:szCs w:val="30"/>
        </w:rPr>
        <w:t>15.一般公共服务支出</w:t>
      </w:r>
      <w:r>
        <w:rPr>
          <w:rFonts w:hint="eastAsia" w:ascii="华文仿宋" w:hAnsi="华文仿宋" w:eastAsia="华文仿宋" w:cs="仿宋"/>
          <w:color w:val="000000"/>
          <w:sz w:val="30"/>
          <w:szCs w:val="30"/>
          <w:highlight w:val="white"/>
        </w:rPr>
        <w:t>（类）</w:t>
      </w:r>
      <w:r>
        <w:rPr>
          <w:rFonts w:hint="eastAsia" w:ascii="华文仿宋" w:hAnsi="华文仿宋" w:eastAsia="华文仿宋" w:cs="仿宋"/>
          <w:color w:val="000000"/>
          <w:sz w:val="30"/>
          <w:szCs w:val="30"/>
        </w:rPr>
        <w:t>市场监督管理事务</w:t>
      </w:r>
      <w:r>
        <w:rPr>
          <w:rFonts w:hint="eastAsia" w:ascii="华文仿宋" w:hAnsi="华文仿宋" w:eastAsia="华文仿宋" w:cs="仿宋"/>
          <w:color w:val="000000"/>
          <w:sz w:val="30"/>
          <w:szCs w:val="30"/>
          <w:highlight w:val="white"/>
        </w:rPr>
        <w:t>（款）</w:t>
      </w:r>
      <w:r>
        <w:rPr>
          <w:rFonts w:hint="eastAsia" w:ascii="华文仿宋" w:hAnsi="华文仿宋" w:eastAsia="华文仿宋" w:cs="仿宋"/>
          <w:color w:val="000000"/>
          <w:sz w:val="30"/>
          <w:szCs w:val="30"/>
        </w:rPr>
        <w:t>行政运行</w:t>
      </w:r>
      <w:r>
        <w:rPr>
          <w:rFonts w:hint="eastAsia" w:ascii="华文仿宋" w:hAnsi="华文仿宋" w:eastAsia="华文仿宋" w:cs="仿宋"/>
          <w:color w:val="000000"/>
          <w:sz w:val="30"/>
          <w:szCs w:val="30"/>
          <w:highlight w:val="white"/>
        </w:rPr>
        <w:t>（项）：反映行政单位（包括实行公务员管理的事业单位）的基本支出。</w:t>
      </w:r>
    </w:p>
    <w:p>
      <w:pPr>
        <w:spacing w:line="640" w:lineRule="exact"/>
        <w:ind w:firstLine="600" w:firstLineChars="200"/>
        <w:rPr>
          <w:rFonts w:ascii="华文仿宋" w:hAnsi="华文仿宋" w:eastAsia="华文仿宋" w:cs="仿宋"/>
          <w:color w:val="000000"/>
          <w:sz w:val="30"/>
          <w:szCs w:val="30"/>
        </w:rPr>
      </w:pPr>
      <w:r>
        <w:rPr>
          <w:rFonts w:hint="eastAsia" w:ascii="华文仿宋" w:hAnsi="华文仿宋" w:eastAsia="华文仿宋" w:cs="仿宋"/>
          <w:color w:val="000000"/>
          <w:sz w:val="30"/>
          <w:szCs w:val="30"/>
        </w:rPr>
        <w:t>16.一般公共服务支出（类）市场监督管理事务（款）一般行政管理事务（项）：</w:t>
      </w:r>
      <w:r>
        <w:rPr>
          <w:rFonts w:hint="eastAsia" w:ascii="华文仿宋" w:hAnsi="华文仿宋" w:eastAsia="华文仿宋" w:cs="仿宋"/>
          <w:color w:val="000000"/>
          <w:sz w:val="30"/>
          <w:szCs w:val="30"/>
          <w:highlight w:val="white"/>
        </w:rPr>
        <w:t>反映行政单位（包括实行公务员管理的事业单位）未单独设置项级科目的其他项目支出。</w:t>
      </w:r>
    </w:p>
    <w:p>
      <w:pPr>
        <w:spacing w:line="640" w:lineRule="exact"/>
        <w:ind w:firstLine="600" w:firstLineChars="200"/>
        <w:rPr>
          <w:rFonts w:ascii="华文仿宋" w:hAnsi="华文仿宋" w:eastAsia="华文仿宋" w:cs="仿宋"/>
          <w:color w:val="000000"/>
          <w:sz w:val="30"/>
          <w:szCs w:val="30"/>
        </w:rPr>
      </w:pPr>
      <w:r>
        <w:rPr>
          <w:rFonts w:hint="eastAsia" w:ascii="华文仿宋" w:hAnsi="华文仿宋" w:eastAsia="华文仿宋" w:cs="仿宋"/>
          <w:color w:val="000000"/>
          <w:sz w:val="30"/>
          <w:szCs w:val="30"/>
        </w:rPr>
        <w:t>17.一般公共服务支出（类）市场监督管理事务（款）市场主体管理（项）：反映市场准入、许可审批、信用监管等市场主体管理专项工作的支出。</w:t>
      </w:r>
    </w:p>
    <w:p>
      <w:pPr>
        <w:spacing w:line="640" w:lineRule="exact"/>
        <w:ind w:firstLine="600" w:firstLineChars="200"/>
        <w:rPr>
          <w:rFonts w:ascii="华文仿宋" w:hAnsi="华文仿宋" w:eastAsia="华文仿宋" w:cs="仿宋"/>
          <w:color w:val="000000"/>
          <w:sz w:val="30"/>
          <w:szCs w:val="30"/>
          <w:highlight w:val="white"/>
        </w:rPr>
      </w:pPr>
      <w:r>
        <w:rPr>
          <w:rFonts w:hint="eastAsia" w:ascii="华文仿宋" w:hAnsi="华文仿宋" w:eastAsia="华文仿宋" w:cs="仿宋"/>
          <w:color w:val="000000"/>
          <w:sz w:val="30"/>
          <w:szCs w:val="30"/>
          <w:highlight w:val="white"/>
        </w:rPr>
        <w:t>18.一般公共服务支出（类）市场监督管理事务（款）市场秩序执法（项）：反映反垄断、价格监督、反不正当竞争、规范直销与打击传销、网络交易监管、广告监管、消费者权益保护、综合执法等市场秩序执法专项工作支出。</w:t>
      </w:r>
    </w:p>
    <w:p>
      <w:pPr>
        <w:spacing w:line="640" w:lineRule="exact"/>
        <w:ind w:firstLine="600" w:firstLineChars="200"/>
        <w:rPr>
          <w:rFonts w:ascii="华文仿宋" w:hAnsi="华文仿宋" w:eastAsia="华文仿宋" w:cs="仿宋"/>
          <w:color w:val="000000"/>
          <w:sz w:val="30"/>
          <w:szCs w:val="30"/>
        </w:rPr>
      </w:pPr>
      <w:r>
        <w:rPr>
          <w:rFonts w:hint="eastAsia" w:ascii="华文仿宋" w:hAnsi="华文仿宋" w:eastAsia="华文仿宋" w:cs="仿宋"/>
          <w:color w:val="000000"/>
          <w:sz w:val="30"/>
          <w:szCs w:val="30"/>
        </w:rPr>
        <w:t>19.一般公共服务支出</w:t>
      </w:r>
      <w:r>
        <w:rPr>
          <w:rFonts w:hint="eastAsia" w:ascii="华文仿宋" w:hAnsi="华文仿宋" w:eastAsia="华文仿宋" w:cs="仿宋"/>
          <w:color w:val="000000"/>
          <w:sz w:val="30"/>
          <w:szCs w:val="30"/>
          <w:highlight w:val="white"/>
        </w:rPr>
        <w:t>（类）</w:t>
      </w:r>
      <w:r>
        <w:rPr>
          <w:rFonts w:hint="eastAsia" w:ascii="华文仿宋" w:hAnsi="华文仿宋" w:eastAsia="华文仿宋" w:cs="仿宋"/>
          <w:color w:val="000000"/>
          <w:sz w:val="30"/>
          <w:szCs w:val="30"/>
        </w:rPr>
        <w:t>市场监督管理事务</w:t>
      </w:r>
      <w:r>
        <w:rPr>
          <w:rFonts w:hint="eastAsia" w:ascii="华文仿宋" w:hAnsi="华文仿宋" w:eastAsia="华文仿宋" w:cs="仿宋"/>
          <w:color w:val="000000"/>
          <w:sz w:val="30"/>
          <w:szCs w:val="30"/>
          <w:highlight w:val="white"/>
        </w:rPr>
        <w:t>（款）</w:t>
      </w:r>
      <w:r>
        <w:rPr>
          <w:rFonts w:hint="eastAsia" w:ascii="华文仿宋" w:hAnsi="华文仿宋" w:eastAsia="华文仿宋" w:cs="仿宋"/>
          <w:color w:val="000000"/>
          <w:sz w:val="30"/>
          <w:szCs w:val="30"/>
        </w:rPr>
        <w:t>信息化建设</w:t>
      </w:r>
      <w:r>
        <w:rPr>
          <w:rFonts w:hint="eastAsia" w:ascii="华文仿宋" w:hAnsi="华文仿宋" w:eastAsia="华文仿宋" w:cs="仿宋"/>
          <w:color w:val="000000"/>
          <w:sz w:val="30"/>
          <w:szCs w:val="30"/>
          <w:highlight w:val="white"/>
        </w:rPr>
        <w:t>（项）</w:t>
      </w:r>
      <w:r>
        <w:rPr>
          <w:rFonts w:hint="eastAsia" w:ascii="华文仿宋" w:hAnsi="华文仿宋" w:eastAsia="华文仿宋" w:cs="仿宋"/>
          <w:color w:val="000000"/>
          <w:sz w:val="30"/>
          <w:szCs w:val="30"/>
        </w:rPr>
        <w:t>：</w:t>
      </w:r>
      <w:r>
        <w:rPr>
          <w:rFonts w:hint="eastAsia" w:ascii="华文仿宋" w:hAnsi="华文仿宋" w:eastAsia="华文仿宋" w:cs="仿宋"/>
          <w:color w:val="000000"/>
          <w:sz w:val="30"/>
          <w:szCs w:val="30"/>
          <w:highlight w:val="white"/>
        </w:rPr>
        <w:t>反映市场监督管理、药品监督管理部门用于信息化建设及运行维护方面的支出。</w:t>
      </w:r>
    </w:p>
    <w:p>
      <w:pPr>
        <w:spacing w:line="640" w:lineRule="exact"/>
        <w:ind w:firstLine="600" w:firstLineChars="200"/>
        <w:rPr>
          <w:rFonts w:ascii="华文仿宋" w:hAnsi="华文仿宋" w:eastAsia="华文仿宋" w:cs="仿宋"/>
          <w:color w:val="000000"/>
          <w:sz w:val="30"/>
          <w:szCs w:val="30"/>
        </w:rPr>
      </w:pPr>
      <w:r>
        <w:rPr>
          <w:rFonts w:hint="eastAsia" w:ascii="华文仿宋" w:hAnsi="华文仿宋" w:eastAsia="华文仿宋" w:cs="仿宋"/>
          <w:color w:val="000000"/>
          <w:sz w:val="30"/>
          <w:szCs w:val="30"/>
        </w:rPr>
        <w:t>20.一般公共服务支出</w:t>
      </w:r>
      <w:r>
        <w:rPr>
          <w:rFonts w:hint="eastAsia" w:ascii="华文仿宋" w:hAnsi="华文仿宋" w:eastAsia="华文仿宋" w:cs="仿宋"/>
          <w:color w:val="000000"/>
          <w:sz w:val="30"/>
          <w:szCs w:val="30"/>
          <w:highlight w:val="white"/>
        </w:rPr>
        <w:t>（类）</w:t>
      </w:r>
      <w:r>
        <w:rPr>
          <w:rFonts w:hint="eastAsia" w:ascii="华文仿宋" w:hAnsi="华文仿宋" w:eastAsia="华文仿宋" w:cs="仿宋"/>
          <w:color w:val="000000"/>
          <w:sz w:val="30"/>
          <w:szCs w:val="30"/>
        </w:rPr>
        <w:t>市场监督管理事务</w:t>
      </w:r>
      <w:r>
        <w:rPr>
          <w:rFonts w:hint="eastAsia" w:ascii="华文仿宋" w:hAnsi="华文仿宋" w:eastAsia="华文仿宋" w:cs="仿宋"/>
          <w:color w:val="000000"/>
          <w:sz w:val="30"/>
          <w:szCs w:val="30"/>
          <w:highlight w:val="white"/>
        </w:rPr>
        <w:t>（款）</w:t>
      </w:r>
      <w:r>
        <w:rPr>
          <w:rFonts w:hint="eastAsia" w:ascii="华文仿宋" w:hAnsi="华文仿宋" w:eastAsia="华文仿宋" w:cs="仿宋"/>
          <w:color w:val="000000"/>
          <w:sz w:val="30"/>
          <w:szCs w:val="30"/>
        </w:rPr>
        <w:t>质量基础</w:t>
      </w:r>
      <w:r>
        <w:rPr>
          <w:rFonts w:hint="eastAsia" w:ascii="华文仿宋" w:hAnsi="华文仿宋" w:eastAsia="华文仿宋" w:cs="仿宋"/>
          <w:color w:val="000000"/>
          <w:sz w:val="30"/>
          <w:szCs w:val="30"/>
          <w:highlight w:val="white"/>
        </w:rPr>
        <w:t>（项）</w:t>
      </w:r>
      <w:r>
        <w:rPr>
          <w:rFonts w:hint="eastAsia" w:ascii="华文仿宋" w:hAnsi="华文仿宋" w:eastAsia="华文仿宋" w:cs="仿宋"/>
          <w:color w:val="000000"/>
          <w:sz w:val="30"/>
          <w:szCs w:val="30"/>
        </w:rPr>
        <w:t>：反映计量、标准、认证认可、检验检测等质量基础专项工作支出。</w:t>
      </w:r>
    </w:p>
    <w:p>
      <w:pPr>
        <w:spacing w:line="640" w:lineRule="exact"/>
        <w:ind w:firstLine="600" w:firstLineChars="200"/>
        <w:rPr>
          <w:rFonts w:ascii="华文仿宋" w:hAnsi="华文仿宋" w:eastAsia="华文仿宋" w:cs="仿宋"/>
          <w:color w:val="000000"/>
          <w:sz w:val="30"/>
          <w:szCs w:val="30"/>
        </w:rPr>
      </w:pPr>
      <w:r>
        <w:rPr>
          <w:rFonts w:hint="eastAsia" w:ascii="华文仿宋" w:hAnsi="华文仿宋" w:eastAsia="华文仿宋" w:cs="仿宋"/>
          <w:color w:val="000000"/>
          <w:sz w:val="30"/>
          <w:szCs w:val="30"/>
        </w:rPr>
        <w:t>21.一般公共服务支出</w:t>
      </w:r>
      <w:r>
        <w:rPr>
          <w:rFonts w:hint="eastAsia" w:ascii="华文仿宋" w:hAnsi="华文仿宋" w:eastAsia="华文仿宋" w:cs="仿宋"/>
          <w:color w:val="000000"/>
          <w:sz w:val="30"/>
          <w:szCs w:val="30"/>
          <w:highlight w:val="white"/>
        </w:rPr>
        <w:t>（类）</w:t>
      </w:r>
      <w:r>
        <w:rPr>
          <w:rFonts w:hint="eastAsia" w:ascii="华文仿宋" w:hAnsi="华文仿宋" w:eastAsia="华文仿宋" w:cs="仿宋"/>
          <w:color w:val="000000"/>
          <w:sz w:val="30"/>
          <w:szCs w:val="30"/>
        </w:rPr>
        <w:t>市场监督管理事务</w:t>
      </w:r>
      <w:r>
        <w:rPr>
          <w:rFonts w:hint="eastAsia" w:ascii="华文仿宋" w:hAnsi="华文仿宋" w:eastAsia="华文仿宋" w:cs="仿宋"/>
          <w:color w:val="000000"/>
          <w:sz w:val="30"/>
          <w:szCs w:val="30"/>
          <w:highlight w:val="white"/>
        </w:rPr>
        <w:t>（款）</w:t>
      </w:r>
      <w:r>
        <w:rPr>
          <w:rFonts w:hint="eastAsia" w:ascii="华文仿宋" w:hAnsi="华文仿宋" w:eastAsia="华文仿宋" w:cs="仿宋"/>
          <w:color w:val="000000"/>
          <w:sz w:val="30"/>
          <w:szCs w:val="30"/>
        </w:rPr>
        <w:t>食品安全监管</w:t>
      </w:r>
      <w:r>
        <w:rPr>
          <w:rFonts w:hint="eastAsia" w:ascii="华文仿宋" w:hAnsi="华文仿宋" w:eastAsia="华文仿宋" w:cs="仿宋"/>
          <w:color w:val="000000"/>
          <w:sz w:val="30"/>
          <w:szCs w:val="30"/>
          <w:highlight w:val="white"/>
        </w:rPr>
        <w:t>（项）</w:t>
      </w:r>
      <w:r>
        <w:rPr>
          <w:rFonts w:hint="eastAsia" w:ascii="华文仿宋" w:hAnsi="华文仿宋" w:eastAsia="华文仿宋" w:cs="仿宋"/>
          <w:color w:val="000000"/>
          <w:sz w:val="30"/>
          <w:szCs w:val="30"/>
        </w:rPr>
        <w:t>：反映产品质量安全监管、特种设备安全监管等质量监管专项工作支出。</w:t>
      </w:r>
    </w:p>
    <w:p>
      <w:pPr>
        <w:spacing w:line="640" w:lineRule="exact"/>
        <w:ind w:firstLine="600" w:firstLineChars="200"/>
        <w:rPr>
          <w:rFonts w:ascii="华文仿宋" w:hAnsi="华文仿宋" w:eastAsia="华文仿宋" w:cs="仿宋"/>
          <w:color w:val="000000"/>
          <w:sz w:val="30"/>
          <w:szCs w:val="30"/>
          <w:highlight w:val="white"/>
        </w:rPr>
      </w:pPr>
      <w:r>
        <w:rPr>
          <w:rFonts w:hint="eastAsia" w:ascii="华文仿宋" w:hAnsi="华文仿宋" w:eastAsia="华文仿宋" w:cs="仿宋"/>
          <w:color w:val="000000"/>
          <w:sz w:val="30"/>
          <w:szCs w:val="30"/>
          <w:highlight w:val="white"/>
        </w:rPr>
        <w:t>22.一般公共服务支出（类）市场监督管理事务（款）事业运行（项）：</w:t>
      </w:r>
      <w:r>
        <w:rPr>
          <w:rFonts w:hint="eastAsia" w:ascii="华文仿宋" w:hAnsi="华文仿宋" w:eastAsia="华文仿宋" w:cs="宋体"/>
          <w:color w:val="000000"/>
          <w:kern w:val="0"/>
          <w:sz w:val="30"/>
          <w:szCs w:val="30"/>
        </w:rPr>
        <w:t>反映事务单位的基本支出，不包括行政单位（包括实行公务员管理的事业单位）后勤服务中心、医务室等附属事业单位。</w:t>
      </w:r>
    </w:p>
    <w:p>
      <w:pPr>
        <w:widowControl/>
        <w:shd w:val="clear" w:color="auto" w:fill="FFFFFF"/>
        <w:ind w:firstLine="600" w:firstLineChars="200"/>
        <w:rPr>
          <w:rFonts w:ascii="华文仿宋" w:hAnsi="华文仿宋" w:eastAsia="华文仿宋" w:cs="宋体"/>
          <w:color w:val="000000"/>
          <w:kern w:val="0"/>
          <w:sz w:val="30"/>
          <w:szCs w:val="30"/>
        </w:rPr>
      </w:pPr>
      <w:r>
        <w:rPr>
          <w:rFonts w:hint="eastAsia" w:ascii="华文仿宋" w:hAnsi="华文仿宋" w:eastAsia="华文仿宋" w:cs="仿宋"/>
          <w:color w:val="000000"/>
          <w:sz w:val="30"/>
          <w:szCs w:val="30"/>
        </w:rPr>
        <w:t>23.一般公共服务支出（类）市场监督管理事务（款）其他市场监督管理事务（项）：</w:t>
      </w:r>
      <w:r>
        <w:rPr>
          <w:rFonts w:hint="eastAsia" w:ascii="华文仿宋" w:hAnsi="华文仿宋" w:eastAsia="华文仿宋" w:cs="宋体"/>
          <w:color w:val="000000"/>
          <w:kern w:val="0"/>
          <w:sz w:val="30"/>
          <w:szCs w:val="30"/>
        </w:rPr>
        <w:t>反映用于除上述项目以外其他市场监督管理事务方面的支出。</w:t>
      </w:r>
    </w:p>
    <w:p>
      <w:pPr>
        <w:spacing w:line="640" w:lineRule="exact"/>
        <w:ind w:firstLine="600" w:firstLineChars="200"/>
        <w:rPr>
          <w:rFonts w:ascii="华文仿宋" w:hAnsi="华文仿宋" w:eastAsia="华文仿宋" w:cs="仿宋"/>
          <w:color w:val="000000"/>
          <w:sz w:val="30"/>
          <w:szCs w:val="30"/>
        </w:rPr>
      </w:pPr>
      <w:r>
        <w:rPr>
          <w:rFonts w:hint="eastAsia" w:ascii="华文仿宋" w:hAnsi="华文仿宋" w:eastAsia="华文仿宋" w:cs="仿宋"/>
          <w:color w:val="000000"/>
          <w:sz w:val="30"/>
          <w:szCs w:val="30"/>
        </w:rPr>
        <w:t>24.科学技术支出（类）科学技术支出（款）其他技术研究与开发支出（项）：反映除上述项目以外其他用于技术研究与开发方面的支出。</w:t>
      </w:r>
    </w:p>
    <w:p>
      <w:pPr>
        <w:widowControl/>
        <w:shd w:val="clear" w:color="auto" w:fill="FFFFFF"/>
        <w:ind w:firstLine="600" w:firstLineChars="200"/>
        <w:rPr>
          <w:rFonts w:ascii="华文仿宋" w:hAnsi="华文仿宋" w:eastAsia="华文仿宋" w:cs="宋体"/>
          <w:color w:val="000000"/>
          <w:kern w:val="0"/>
          <w:sz w:val="30"/>
          <w:szCs w:val="30"/>
        </w:rPr>
      </w:pPr>
      <w:r>
        <w:rPr>
          <w:rFonts w:hint="eastAsia" w:ascii="华文仿宋" w:hAnsi="华文仿宋" w:eastAsia="华文仿宋" w:cs="仿宋"/>
          <w:color w:val="000000"/>
          <w:sz w:val="30"/>
          <w:szCs w:val="30"/>
        </w:rPr>
        <w:t>25.社会保障和就业支出（类）行政事业单位养老支出（款）机关事业单位基本养老保险缴费支出（项）：</w:t>
      </w:r>
      <w:r>
        <w:rPr>
          <w:rFonts w:hint="eastAsia" w:ascii="华文仿宋" w:hAnsi="华文仿宋" w:eastAsia="华文仿宋" w:cs="宋体"/>
          <w:color w:val="000000"/>
          <w:kern w:val="0"/>
          <w:sz w:val="30"/>
          <w:szCs w:val="30"/>
        </w:rPr>
        <w:t>反映机关事业单位实施养老保险制度由单位实际缴纳的基本养老保险费支出。</w:t>
      </w:r>
    </w:p>
    <w:p>
      <w:pPr>
        <w:spacing w:line="640" w:lineRule="exact"/>
        <w:ind w:firstLine="600" w:firstLineChars="200"/>
        <w:rPr>
          <w:rFonts w:ascii="华文仿宋" w:hAnsi="华文仿宋" w:eastAsia="华文仿宋" w:cs="仿宋"/>
          <w:color w:val="000000"/>
          <w:sz w:val="30"/>
          <w:szCs w:val="30"/>
        </w:rPr>
      </w:pPr>
      <w:r>
        <w:rPr>
          <w:rFonts w:hint="eastAsia" w:ascii="华文仿宋" w:hAnsi="华文仿宋" w:eastAsia="华文仿宋" w:cs="仿宋"/>
          <w:color w:val="000000"/>
          <w:sz w:val="30"/>
          <w:szCs w:val="30"/>
        </w:rPr>
        <w:t>26.社会保障和就业支出（类）行政事业单位养老支出（款）机关事业单位职业年金缴费支出（项）：</w:t>
      </w:r>
      <w:r>
        <w:rPr>
          <w:rFonts w:hint="eastAsia" w:ascii="华文仿宋" w:hAnsi="华文仿宋" w:eastAsia="华文仿宋" w:cs="宋体"/>
          <w:color w:val="000000"/>
          <w:kern w:val="0"/>
          <w:sz w:val="30"/>
          <w:szCs w:val="30"/>
        </w:rPr>
        <w:t>反映机关事业单位实施养老保险制度由单位实际缴纳的职业年金支出。</w:t>
      </w:r>
    </w:p>
    <w:p>
      <w:pPr>
        <w:widowControl/>
        <w:shd w:val="clear" w:color="auto" w:fill="FFFFFF"/>
        <w:ind w:firstLine="600" w:firstLineChars="200"/>
        <w:rPr>
          <w:rFonts w:ascii="华文仿宋" w:hAnsi="华文仿宋" w:eastAsia="华文仿宋" w:cs="宋体"/>
          <w:color w:val="000000"/>
          <w:kern w:val="0"/>
          <w:sz w:val="30"/>
          <w:szCs w:val="30"/>
        </w:rPr>
      </w:pPr>
      <w:r>
        <w:rPr>
          <w:rFonts w:hint="eastAsia" w:ascii="华文仿宋" w:hAnsi="华文仿宋" w:eastAsia="华文仿宋" w:cs="仿宋"/>
          <w:color w:val="000000"/>
          <w:sz w:val="30"/>
          <w:szCs w:val="30"/>
        </w:rPr>
        <w:t>27.社会保障和就业支出（类）行政事业单位养老支出（款）其他行政事业单位养老支出（项）：</w:t>
      </w:r>
      <w:r>
        <w:rPr>
          <w:rFonts w:hint="eastAsia" w:ascii="华文仿宋" w:hAnsi="华文仿宋" w:eastAsia="华文仿宋" w:cs="宋体"/>
          <w:color w:val="000000"/>
          <w:kern w:val="0"/>
          <w:sz w:val="30"/>
          <w:szCs w:val="30"/>
        </w:rPr>
        <w:t>反映除上述项目以外其他用于行政事业单位离退休方面的支出。</w:t>
      </w:r>
    </w:p>
    <w:p>
      <w:pPr>
        <w:spacing w:line="640" w:lineRule="exact"/>
        <w:ind w:firstLine="600" w:firstLineChars="200"/>
        <w:rPr>
          <w:rFonts w:ascii="华文仿宋" w:hAnsi="华文仿宋" w:eastAsia="华文仿宋" w:cs="仿宋"/>
          <w:color w:val="000000"/>
          <w:sz w:val="30"/>
          <w:szCs w:val="30"/>
        </w:rPr>
      </w:pPr>
      <w:r>
        <w:rPr>
          <w:rFonts w:hint="eastAsia" w:ascii="华文仿宋" w:hAnsi="华文仿宋" w:eastAsia="华文仿宋" w:cs="仿宋"/>
          <w:color w:val="000000"/>
          <w:sz w:val="30"/>
          <w:szCs w:val="30"/>
        </w:rPr>
        <w:t>28.卫生健康支出（类）行政事业单位医疗（款）公务员医疗补助（项）：</w:t>
      </w:r>
      <w:r>
        <w:rPr>
          <w:rFonts w:hint="eastAsia" w:ascii="华文仿宋" w:hAnsi="华文仿宋" w:eastAsia="华文仿宋" w:cs="宋体"/>
          <w:color w:val="000000"/>
          <w:kern w:val="0"/>
          <w:sz w:val="30"/>
          <w:szCs w:val="30"/>
        </w:rPr>
        <w:t>反映财政部门安排的公务员医疗补助经费。</w:t>
      </w:r>
    </w:p>
    <w:p>
      <w:pPr>
        <w:spacing w:line="640" w:lineRule="exact"/>
        <w:ind w:firstLine="600" w:firstLineChars="200"/>
        <w:rPr>
          <w:rFonts w:ascii="华文仿宋" w:hAnsi="华文仿宋" w:eastAsia="华文仿宋" w:cs="仿宋"/>
          <w:color w:val="000000"/>
          <w:sz w:val="30"/>
          <w:szCs w:val="30"/>
        </w:rPr>
      </w:pPr>
      <w:r>
        <w:rPr>
          <w:rFonts w:hint="eastAsia" w:ascii="华文仿宋" w:hAnsi="华文仿宋" w:eastAsia="华文仿宋" w:cs="仿宋"/>
          <w:color w:val="000000"/>
          <w:sz w:val="30"/>
          <w:szCs w:val="30"/>
        </w:rPr>
        <w:t>29.卫生健康支出（类）行政事业单位医疗（款）其他行政事业单位医疗支出（项）：反映除上述项目以外的其他用于行政事业单位医疗方面的支出。</w:t>
      </w:r>
    </w:p>
    <w:p>
      <w:pPr>
        <w:spacing w:line="640" w:lineRule="exact"/>
        <w:ind w:firstLine="600" w:firstLineChars="200"/>
        <w:rPr>
          <w:rFonts w:ascii="华文仿宋" w:hAnsi="华文仿宋" w:eastAsia="华文仿宋"/>
          <w:bCs/>
          <w:color w:val="000000"/>
          <w:sz w:val="30"/>
          <w:szCs w:val="30"/>
        </w:rPr>
      </w:pPr>
      <w:r>
        <w:rPr>
          <w:rFonts w:hint="eastAsia" w:ascii="华文仿宋" w:hAnsi="华文仿宋" w:eastAsia="华文仿宋" w:cs="仿宋"/>
          <w:color w:val="000000"/>
          <w:sz w:val="30"/>
          <w:szCs w:val="30"/>
        </w:rPr>
        <w:t>30.城乡社区支出（类）其他城乡社区支出（款）其他城乡社区支出（项）：反映除上述项目以外其他用于城乡社区方面的支出。</w:t>
      </w:r>
    </w:p>
    <w:p>
      <w:pPr>
        <w:spacing w:line="640" w:lineRule="exact"/>
        <w:ind w:firstLine="600" w:firstLineChars="200"/>
        <w:rPr>
          <w:rFonts w:ascii="华文仿宋" w:hAnsi="华文仿宋" w:eastAsia="华文仿宋"/>
          <w:bCs/>
          <w:color w:val="000000"/>
          <w:sz w:val="30"/>
          <w:szCs w:val="30"/>
        </w:rPr>
      </w:pPr>
      <w:r>
        <w:rPr>
          <w:rFonts w:hint="eastAsia" w:ascii="华文仿宋" w:hAnsi="华文仿宋" w:eastAsia="华文仿宋" w:cs="仿宋"/>
          <w:color w:val="000000"/>
          <w:sz w:val="30"/>
          <w:szCs w:val="30"/>
        </w:rPr>
        <w:t>31.商业服务业等支出（类）其他商业服务业等支出（款）其他商业服务业等支出（项）：反映其他商业服务业等支出中除上述项目以外的其他支出。</w:t>
      </w:r>
    </w:p>
    <w:p>
      <w:pPr>
        <w:spacing w:line="640" w:lineRule="exact"/>
        <w:ind w:firstLine="600" w:firstLineChars="200"/>
        <w:rPr>
          <w:rFonts w:ascii="华文仿宋" w:hAnsi="华文仿宋" w:eastAsia="华文仿宋" w:cs="仿宋"/>
          <w:color w:val="000000"/>
          <w:sz w:val="30"/>
          <w:szCs w:val="30"/>
        </w:rPr>
      </w:pPr>
      <w:r>
        <w:rPr>
          <w:rFonts w:hint="eastAsia" w:ascii="华文仿宋" w:hAnsi="华文仿宋" w:eastAsia="华文仿宋" w:cs="仿宋"/>
          <w:color w:val="000000"/>
          <w:sz w:val="30"/>
          <w:szCs w:val="30"/>
        </w:rPr>
        <w:t>32.住房保障支出（类）住房改革支出（款）住房公积金（项）：</w:t>
      </w:r>
      <w:r>
        <w:rPr>
          <w:rFonts w:hint="eastAsia" w:ascii="华文仿宋" w:hAnsi="华文仿宋" w:eastAsia="华文仿宋" w:cs="宋体"/>
          <w:color w:val="000000"/>
          <w:kern w:val="0"/>
          <w:sz w:val="30"/>
          <w:szCs w:val="30"/>
        </w:rPr>
        <w:t>反映行政事业单位按人力资源和社会保障部、财政部规定的基本工资和津贴补贴以及规定比例为职工缴纳的住房公积金。</w:t>
      </w:r>
    </w:p>
    <w:sectPr>
      <w:footerReference r:id="rId4" w:type="default"/>
      <w:pgSz w:w="11906" w:h="16838"/>
      <w:pgMar w:top="1440" w:right="1361" w:bottom="1440" w:left="1361"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Light">
    <w:altName w:val="Arial Unicode MS"/>
    <w:panose1 w:val="00000000000000000000"/>
    <w:charset w:val="86"/>
    <w:family w:val="auto"/>
    <w:pitch w:val="default"/>
    <w:sig w:usb0="00000000" w:usb1="00000000" w:usb2="00000016" w:usb3="00000000" w:csb0="0004000F"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等线">
    <w:altName w:val="Arial Unicode MS"/>
    <w:panose1 w:val="00000000000000000000"/>
    <w:charset w:val="00"/>
    <w:family w:val="auto"/>
    <w:pitch w:val="default"/>
    <w:sig w:usb0="00000000" w:usb1="00000000" w:usb2="00000000" w:usb3="00000000" w:csb0="00000000"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81085174"/>
      <w:docPartObj>
        <w:docPartGallery w:val="autotext"/>
      </w:docPartObj>
    </w:sdtPr>
    <w:sdtContent>
      <w:p>
        <w:pPr>
          <w:pStyle w:val="7"/>
          <w:jc w:val="center"/>
        </w:pPr>
        <w:r>
          <w:fldChar w:fldCharType="begin"/>
        </w:r>
        <w:r>
          <w:instrText xml:space="preserve">PAGE   \* MERGEFORMAT</w:instrText>
        </w:r>
        <w:r>
          <w:fldChar w:fldCharType="separate"/>
        </w:r>
        <w:r>
          <w:rPr>
            <w:lang w:val="zh-CN"/>
          </w:rPr>
          <w:t>1</w:t>
        </w:r>
        <w:r>
          <w:fldChar w:fldCharType="end"/>
        </w:r>
      </w:p>
    </w:sdtContent>
  </w:sdt>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81085174"/>
      <w:docPartObj>
        <w:docPartGallery w:val="autotext"/>
      </w:docPartObj>
    </w:sdtPr>
    <w:sdtContent>
      <w:p>
        <w:pPr>
          <w:pStyle w:val="7"/>
          <w:jc w:val="center"/>
        </w:pPr>
        <w:r>
          <w:fldChar w:fldCharType="begin"/>
        </w:r>
        <w:r>
          <w:instrText xml:space="preserve">PAGE   \* MERGEFORMAT</w:instrText>
        </w:r>
        <w:r>
          <w:fldChar w:fldCharType="separate"/>
        </w:r>
        <w:r>
          <w:rPr>
            <w:lang w:val="zh-CN"/>
          </w:rPr>
          <w:t>1</w:t>
        </w:r>
        <w:r>
          <w:fldChar w:fldCharType="end"/>
        </w:r>
      </w:p>
    </w:sdtContent>
  </w:sdt>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A8A"/>
    <w:rsid w:val="00000558"/>
    <w:rsid w:val="00001CFC"/>
    <w:rsid w:val="00001E23"/>
    <w:rsid w:val="00011ADF"/>
    <w:rsid w:val="000120DE"/>
    <w:rsid w:val="00012B8B"/>
    <w:rsid w:val="00012E9C"/>
    <w:rsid w:val="00015DEC"/>
    <w:rsid w:val="000229F7"/>
    <w:rsid w:val="00023DF8"/>
    <w:rsid w:val="00031E5B"/>
    <w:rsid w:val="000501EE"/>
    <w:rsid w:val="00051C2A"/>
    <w:rsid w:val="00054642"/>
    <w:rsid w:val="00056909"/>
    <w:rsid w:val="00086BAB"/>
    <w:rsid w:val="00092E02"/>
    <w:rsid w:val="00093F36"/>
    <w:rsid w:val="000A667B"/>
    <w:rsid w:val="000A6CAF"/>
    <w:rsid w:val="000A7DC5"/>
    <w:rsid w:val="000B081D"/>
    <w:rsid w:val="000C697C"/>
    <w:rsid w:val="000D26E8"/>
    <w:rsid w:val="000D690D"/>
    <w:rsid w:val="000D755A"/>
    <w:rsid w:val="000F2443"/>
    <w:rsid w:val="0010268E"/>
    <w:rsid w:val="00107078"/>
    <w:rsid w:val="001103AC"/>
    <w:rsid w:val="00120232"/>
    <w:rsid w:val="00130EA8"/>
    <w:rsid w:val="00136713"/>
    <w:rsid w:val="001416FC"/>
    <w:rsid w:val="00142A1D"/>
    <w:rsid w:val="0014727C"/>
    <w:rsid w:val="001502A4"/>
    <w:rsid w:val="0015200F"/>
    <w:rsid w:val="00155A27"/>
    <w:rsid w:val="00160134"/>
    <w:rsid w:val="001717FA"/>
    <w:rsid w:val="00175184"/>
    <w:rsid w:val="0019549F"/>
    <w:rsid w:val="001A08C7"/>
    <w:rsid w:val="001A7ED0"/>
    <w:rsid w:val="001C018C"/>
    <w:rsid w:val="001E173D"/>
    <w:rsid w:val="001E23BE"/>
    <w:rsid w:val="001E5E70"/>
    <w:rsid w:val="001F0395"/>
    <w:rsid w:val="00201E75"/>
    <w:rsid w:val="00206692"/>
    <w:rsid w:val="00211F7A"/>
    <w:rsid w:val="00213B2B"/>
    <w:rsid w:val="00223B3A"/>
    <w:rsid w:val="00234BE0"/>
    <w:rsid w:val="00255A90"/>
    <w:rsid w:val="00260154"/>
    <w:rsid w:val="00263196"/>
    <w:rsid w:val="00277C1E"/>
    <w:rsid w:val="00292204"/>
    <w:rsid w:val="00295C23"/>
    <w:rsid w:val="002A6240"/>
    <w:rsid w:val="002D7815"/>
    <w:rsid w:val="002E422B"/>
    <w:rsid w:val="00305794"/>
    <w:rsid w:val="003100F4"/>
    <w:rsid w:val="00316243"/>
    <w:rsid w:val="00321064"/>
    <w:rsid w:val="00322F5C"/>
    <w:rsid w:val="003259D8"/>
    <w:rsid w:val="0033381C"/>
    <w:rsid w:val="00335573"/>
    <w:rsid w:val="00352BCF"/>
    <w:rsid w:val="00372A1E"/>
    <w:rsid w:val="00376980"/>
    <w:rsid w:val="00376DA9"/>
    <w:rsid w:val="00377F96"/>
    <w:rsid w:val="00380CDE"/>
    <w:rsid w:val="003B4336"/>
    <w:rsid w:val="003B5372"/>
    <w:rsid w:val="003C7A61"/>
    <w:rsid w:val="003D1392"/>
    <w:rsid w:val="003D48C6"/>
    <w:rsid w:val="003F0DAC"/>
    <w:rsid w:val="003F5CE1"/>
    <w:rsid w:val="003F6C3B"/>
    <w:rsid w:val="00415AA8"/>
    <w:rsid w:val="004202E9"/>
    <w:rsid w:val="00423255"/>
    <w:rsid w:val="00425406"/>
    <w:rsid w:val="00434616"/>
    <w:rsid w:val="00441C7D"/>
    <w:rsid w:val="00442B9F"/>
    <w:rsid w:val="00451230"/>
    <w:rsid w:val="00456014"/>
    <w:rsid w:val="0045731A"/>
    <w:rsid w:val="00462C3D"/>
    <w:rsid w:val="00463A5F"/>
    <w:rsid w:val="0046527D"/>
    <w:rsid w:val="004729E3"/>
    <w:rsid w:val="004853B6"/>
    <w:rsid w:val="004956C3"/>
    <w:rsid w:val="004A4B93"/>
    <w:rsid w:val="004C14A0"/>
    <w:rsid w:val="004C2EDE"/>
    <w:rsid w:val="004D15E6"/>
    <w:rsid w:val="004D3D02"/>
    <w:rsid w:val="004D6CDF"/>
    <w:rsid w:val="004D75B0"/>
    <w:rsid w:val="004E0056"/>
    <w:rsid w:val="004E3478"/>
    <w:rsid w:val="00500C90"/>
    <w:rsid w:val="00506A8A"/>
    <w:rsid w:val="00510D27"/>
    <w:rsid w:val="00534EEC"/>
    <w:rsid w:val="005367EC"/>
    <w:rsid w:val="00542739"/>
    <w:rsid w:val="00543E3E"/>
    <w:rsid w:val="005523FD"/>
    <w:rsid w:val="005541F3"/>
    <w:rsid w:val="00555A83"/>
    <w:rsid w:val="00573AFE"/>
    <w:rsid w:val="0057591E"/>
    <w:rsid w:val="00584094"/>
    <w:rsid w:val="005932D4"/>
    <w:rsid w:val="00593EC3"/>
    <w:rsid w:val="005A03D0"/>
    <w:rsid w:val="005A51C3"/>
    <w:rsid w:val="005A78D6"/>
    <w:rsid w:val="005C6132"/>
    <w:rsid w:val="005D1425"/>
    <w:rsid w:val="005D7928"/>
    <w:rsid w:val="005D7C06"/>
    <w:rsid w:val="005E6976"/>
    <w:rsid w:val="005E75B2"/>
    <w:rsid w:val="005F4510"/>
    <w:rsid w:val="00611058"/>
    <w:rsid w:val="00611415"/>
    <w:rsid w:val="00613DDC"/>
    <w:rsid w:val="00634055"/>
    <w:rsid w:val="006578D1"/>
    <w:rsid w:val="00661782"/>
    <w:rsid w:val="006620F1"/>
    <w:rsid w:val="006649DE"/>
    <w:rsid w:val="00671291"/>
    <w:rsid w:val="006724C1"/>
    <w:rsid w:val="00673D5E"/>
    <w:rsid w:val="0067478F"/>
    <w:rsid w:val="00677834"/>
    <w:rsid w:val="006809CE"/>
    <w:rsid w:val="00681355"/>
    <w:rsid w:val="00681C1C"/>
    <w:rsid w:val="00687502"/>
    <w:rsid w:val="0069381E"/>
    <w:rsid w:val="006942E9"/>
    <w:rsid w:val="00695843"/>
    <w:rsid w:val="006A42E8"/>
    <w:rsid w:val="006A62AB"/>
    <w:rsid w:val="006A7738"/>
    <w:rsid w:val="006C63F8"/>
    <w:rsid w:val="006E038A"/>
    <w:rsid w:val="006E0C80"/>
    <w:rsid w:val="006E4AEF"/>
    <w:rsid w:val="006F0D5A"/>
    <w:rsid w:val="006F4BC0"/>
    <w:rsid w:val="00702E15"/>
    <w:rsid w:val="007134A1"/>
    <w:rsid w:val="00720694"/>
    <w:rsid w:val="0072255D"/>
    <w:rsid w:val="00722C7F"/>
    <w:rsid w:val="007438C2"/>
    <w:rsid w:val="007453F1"/>
    <w:rsid w:val="00755043"/>
    <w:rsid w:val="00757F9F"/>
    <w:rsid w:val="00763378"/>
    <w:rsid w:val="007645D4"/>
    <w:rsid w:val="0077161C"/>
    <w:rsid w:val="007735A6"/>
    <w:rsid w:val="007866FE"/>
    <w:rsid w:val="00793CB5"/>
    <w:rsid w:val="00796A0B"/>
    <w:rsid w:val="00797C17"/>
    <w:rsid w:val="007A0CB5"/>
    <w:rsid w:val="007C27CB"/>
    <w:rsid w:val="007C39CE"/>
    <w:rsid w:val="007C5A85"/>
    <w:rsid w:val="007D08A9"/>
    <w:rsid w:val="007D5426"/>
    <w:rsid w:val="007E108A"/>
    <w:rsid w:val="0080002D"/>
    <w:rsid w:val="008019D2"/>
    <w:rsid w:val="0080742D"/>
    <w:rsid w:val="00820FD9"/>
    <w:rsid w:val="00823B51"/>
    <w:rsid w:val="00826CA3"/>
    <w:rsid w:val="00835543"/>
    <w:rsid w:val="00837196"/>
    <w:rsid w:val="008527D4"/>
    <w:rsid w:val="00887AA1"/>
    <w:rsid w:val="008948B2"/>
    <w:rsid w:val="008A59D8"/>
    <w:rsid w:val="008C1E22"/>
    <w:rsid w:val="008C5D2A"/>
    <w:rsid w:val="008D170A"/>
    <w:rsid w:val="008D3406"/>
    <w:rsid w:val="008D4928"/>
    <w:rsid w:val="008E0956"/>
    <w:rsid w:val="008F65C2"/>
    <w:rsid w:val="009019C5"/>
    <w:rsid w:val="00903C3D"/>
    <w:rsid w:val="00920B7B"/>
    <w:rsid w:val="00932477"/>
    <w:rsid w:val="009375CE"/>
    <w:rsid w:val="00961E88"/>
    <w:rsid w:val="0096589E"/>
    <w:rsid w:val="00970534"/>
    <w:rsid w:val="00980FCD"/>
    <w:rsid w:val="009810A3"/>
    <w:rsid w:val="009848C0"/>
    <w:rsid w:val="00986EFD"/>
    <w:rsid w:val="00994189"/>
    <w:rsid w:val="009A0FA5"/>
    <w:rsid w:val="009A1A38"/>
    <w:rsid w:val="009A1CE1"/>
    <w:rsid w:val="009A2DA1"/>
    <w:rsid w:val="009B4D7F"/>
    <w:rsid w:val="009B7AF5"/>
    <w:rsid w:val="009C0A2C"/>
    <w:rsid w:val="009C1B8F"/>
    <w:rsid w:val="009E1589"/>
    <w:rsid w:val="009E16FB"/>
    <w:rsid w:val="009F5733"/>
    <w:rsid w:val="009F6BD9"/>
    <w:rsid w:val="00A036E5"/>
    <w:rsid w:val="00A14CE4"/>
    <w:rsid w:val="00A22EB6"/>
    <w:rsid w:val="00A23F52"/>
    <w:rsid w:val="00A26E54"/>
    <w:rsid w:val="00A30142"/>
    <w:rsid w:val="00A30279"/>
    <w:rsid w:val="00A34F34"/>
    <w:rsid w:val="00A441FF"/>
    <w:rsid w:val="00A502DD"/>
    <w:rsid w:val="00A66956"/>
    <w:rsid w:val="00A71829"/>
    <w:rsid w:val="00A726AF"/>
    <w:rsid w:val="00A81EDA"/>
    <w:rsid w:val="00A87B92"/>
    <w:rsid w:val="00AA118A"/>
    <w:rsid w:val="00AC1A5C"/>
    <w:rsid w:val="00AC1C61"/>
    <w:rsid w:val="00AD1C2F"/>
    <w:rsid w:val="00AD2B9C"/>
    <w:rsid w:val="00AD55C3"/>
    <w:rsid w:val="00AE0AB9"/>
    <w:rsid w:val="00AF0EEF"/>
    <w:rsid w:val="00B055DE"/>
    <w:rsid w:val="00B07DCA"/>
    <w:rsid w:val="00B13F61"/>
    <w:rsid w:val="00B14775"/>
    <w:rsid w:val="00B150D8"/>
    <w:rsid w:val="00B23F12"/>
    <w:rsid w:val="00B258BE"/>
    <w:rsid w:val="00B43CAD"/>
    <w:rsid w:val="00B4675B"/>
    <w:rsid w:val="00B52088"/>
    <w:rsid w:val="00B661B0"/>
    <w:rsid w:val="00B67D3A"/>
    <w:rsid w:val="00B80708"/>
    <w:rsid w:val="00B8180B"/>
    <w:rsid w:val="00B91D1C"/>
    <w:rsid w:val="00B91D1F"/>
    <w:rsid w:val="00BB5DB1"/>
    <w:rsid w:val="00BB601F"/>
    <w:rsid w:val="00BB794D"/>
    <w:rsid w:val="00BE325B"/>
    <w:rsid w:val="00BE3E5A"/>
    <w:rsid w:val="00BF2F83"/>
    <w:rsid w:val="00C0522E"/>
    <w:rsid w:val="00C06DBA"/>
    <w:rsid w:val="00C06FEF"/>
    <w:rsid w:val="00C14291"/>
    <w:rsid w:val="00C17154"/>
    <w:rsid w:val="00C271AA"/>
    <w:rsid w:val="00C33B63"/>
    <w:rsid w:val="00C44F33"/>
    <w:rsid w:val="00C45D38"/>
    <w:rsid w:val="00C57DFD"/>
    <w:rsid w:val="00C618B7"/>
    <w:rsid w:val="00C70602"/>
    <w:rsid w:val="00C816FE"/>
    <w:rsid w:val="00C86B4D"/>
    <w:rsid w:val="00C91FE9"/>
    <w:rsid w:val="00C962F6"/>
    <w:rsid w:val="00C969F8"/>
    <w:rsid w:val="00C97329"/>
    <w:rsid w:val="00CA6B62"/>
    <w:rsid w:val="00CB2236"/>
    <w:rsid w:val="00CB490E"/>
    <w:rsid w:val="00CB6E14"/>
    <w:rsid w:val="00CC0BBD"/>
    <w:rsid w:val="00CC5C4F"/>
    <w:rsid w:val="00CD14F9"/>
    <w:rsid w:val="00CD6B86"/>
    <w:rsid w:val="00CE1ACA"/>
    <w:rsid w:val="00CE7EFA"/>
    <w:rsid w:val="00CF11FC"/>
    <w:rsid w:val="00CF59ED"/>
    <w:rsid w:val="00D018A0"/>
    <w:rsid w:val="00D111AA"/>
    <w:rsid w:val="00D22E6E"/>
    <w:rsid w:val="00D25543"/>
    <w:rsid w:val="00D25FE5"/>
    <w:rsid w:val="00D31EB6"/>
    <w:rsid w:val="00D34C07"/>
    <w:rsid w:val="00D36EFA"/>
    <w:rsid w:val="00D4121F"/>
    <w:rsid w:val="00D444DC"/>
    <w:rsid w:val="00D5017B"/>
    <w:rsid w:val="00D50E39"/>
    <w:rsid w:val="00D52D2C"/>
    <w:rsid w:val="00D603A0"/>
    <w:rsid w:val="00D70F6F"/>
    <w:rsid w:val="00D76225"/>
    <w:rsid w:val="00D77842"/>
    <w:rsid w:val="00D84831"/>
    <w:rsid w:val="00D9738D"/>
    <w:rsid w:val="00DA2193"/>
    <w:rsid w:val="00DA6B17"/>
    <w:rsid w:val="00DA71A6"/>
    <w:rsid w:val="00DB4030"/>
    <w:rsid w:val="00DC5543"/>
    <w:rsid w:val="00DE253C"/>
    <w:rsid w:val="00DE6290"/>
    <w:rsid w:val="00DF4295"/>
    <w:rsid w:val="00DF6B90"/>
    <w:rsid w:val="00E10F06"/>
    <w:rsid w:val="00E15BE0"/>
    <w:rsid w:val="00E31E93"/>
    <w:rsid w:val="00E32A59"/>
    <w:rsid w:val="00E37C63"/>
    <w:rsid w:val="00E47554"/>
    <w:rsid w:val="00E55AC1"/>
    <w:rsid w:val="00E57B2D"/>
    <w:rsid w:val="00E62CF3"/>
    <w:rsid w:val="00E6508A"/>
    <w:rsid w:val="00E66305"/>
    <w:rsid w:val="00E774A4"/>
    <w:rsid w:val="00EA0E1D"/>
    <w:rsid w:val="00EA43DE"/>
    <w:rsid w:val="00EA4EBB"/>
    <w:rsid w:val="00EA7AC8"/>
    <w:rsid w:val="00EB0976"/>
    <w:rsid w:val="00EC0DC9"/>
    <w:rsid w:val="00ED33E5"/>
    <w:rsid w:val="00EE16F9"/>
    <w:rsid w:val="00EF0BFC"/>
    <w:rsid w:val="00F113B4"/>
    <w:rsid w:val="00F12C06"/>
    <w:rsid w:val="00F253AB"/>
    <w:rsid w:val="00F27765"/>
    <w:rsid w:val="00F278F6"/>
    <w:rsid w:val="00F31DF8"/>
    <w:rsid w:val="00F35BFB"/>
    <w:rsid w:val="00F476F9"/>
    <w:rsid w:val="00F4796F"/>
    <w:rsid w:val="00F507CB"/>
    <w:rsid w:val="00F53787"/>
    <w:rsid w:val="00F84135"/>
    <w:rsid w:val="00F84C02"/>
    <w:rsid w:val="00F9410E"/>
    <w:rsid w:val="00F968C3"/>
    <w:rsid w:val="00FA02B3"/>
    <w:rsid w:val="00FA031A"/>
    <w:rsid w:val="00FA2677"/>
    <w:rsid w:val="00FC5553"/>
    <w:rsid w:val="00FF0DE0"/>
    <w:rsid w:val="00FF4A7C"/>
    <w:rsid w:val="00FF591C"/>
    <w:rsid w:val="00FF5D31"/>
    <w:rsid w:val="00FF6E51"/>
    <w:rsid w:val="164E77D4"/>
    <w:rsid w:val="2CFC002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7"/>
    <w:semiHidden/>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5">
    <w:name w:val="toc 3"/>
    <w:basedOn w:val="1"/>
    <w:next w:val="1"/>
    <w:semiHidden/>
    <w:unhideWhenUsed/>
    <w:qFormat/>
    <w:uiPriority w:val="39"/>
    <w:pPr>
      <w:widowControl/>
      <w:spacing w:after="100" w:line="276" w:lineRule="auto"/>
      <w:ind w:left="440"/>
      <w:jc w:val="left"/>
    </w:pPr>
    <w:rPr>
      <w:kern w:val="0"/>
      <w:sz w:val="22"/>
    </w:rPr>
  </w:style>
  <w:style w:type="paragraph" w:styleId="6">
    <w:name w:val="Balloon Text"/>
    <w:basedOn w:val="1"/>
    <w:link w:val="19"/>
    <w:semiHidden/>
    <w:unhideWhenUsed/>
    <w:qFormat/>
    <w:uiPriority w:val="99"/>
    <w:rPr>
      <w:sz w:val="18"/>
      <w:szCs w:val="18"/>
    </w:rPr>
  </w:style>
  <w:style w:type="paragraph" w:styleId="7">
    <w:name w:val="footer"/>
    <w:basedOn w:val="1"/>
    <w:link w:val="17"/>
    <w:unhideWhenUsed/>
    <w:uiPriority w:val="99"/>
    <w:pPr>
      <w:tabs>
        <w:tab w:val="center" w:pos="4153"/>
        <w:tab w:val="right" w:pos="8306"/>
      </w:tabs>
      <w:snapToGrid w:val="0"/>
      <w:jc w:val="left"/>
    </w:pPr>
    <w:rPr>
      <w:sz w:val="18"/>
      <w:szCs w:val="18"/>
    </w:rPr>
  </w:style>
  <w:style w:type="paragraph" w:styleId="8">
    <w:name w:val="header"/>
    <w:basedOn w:val="1"/>
    <w:link w:val="16"/>
    <w:unhideWhenUsed/>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semiHidden/>
    <w:unhideWhenUsed/>
    <w:qFormat/>
    <w:uiPriority w:val="39"/>
    <w:pPr>
      <w:widowControl/>
      <w:spacing w:after="100" w:line="276" w:lineRule="auto"/>
      <w:jc w:val="left"/>
    </w:pPr>
    <w:rPr>
      <w:kern w:val="0"/>
      <w:sz w:val="22"/>
    </w:rPr>
  </w:style>
  <w:style w:type="paragraph" w:styleId="10">
    <w:name w:val="toc 2"/>
    <w:basedOn w:val="1"/>
    <w:next w:val="1"/>
    <w:semiHidden/>
    <w:unhideWhenUsed/>
    <w:qFormat/>
    <w:uiPriority w:val="39"/>
    <w:pPr>
      <w:widowControl/>
      <w:spacing w:after="100" w:line="276" w:lineRule="auto"/>
      <w:ind w:left="220"/>
      <w:jc w:val="left"/>
    </w:pPr>
    <w:rPr>
      <w:kern w:val="0"/>
      <w:sz w:val="22"/>
    </w:rPr>
  </w:style>
  <w:style w:type="paragraph" w:styleId="11">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13">
    <w:name w:val="Table Grid"/>
    <w:basedOn w:val="12"/>
    <w:uiPriority w:val="3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5">
    <w:name w:val="Hyperlink"/>
    <w:basedOn w:val="14"/>
    <w:semiHidden/>
    <w:unhideWhenUsed/>
    <w:qFormat/>
    <w:uiPriority w:val="99"/>
    <w:rPr>
      <w:color w:val="0563C1" w:themeColor="hyperlink"/>
      <w:u w:val="single"/>
      <w14:textFill>
        <w14:solidFill>
          <w14:schemeClr w14:val="hlink"/>
        </w14:solidFill>
      </w14:textFill>
    </w:rPr>
  </w:style>
  <w:style w:type="character" w:customStyle="1" w:styleId="16">
    <w:name w:val="页眉 Char"/>
    <w:basedOn w:val="14"/>
    <w:link w:val="8"/>
    <w:uiPriority w:val="99"/>
    <w:rPr>
      <w:sz w:val="18"/>
      <w:szCs w:val="18"/>
    </w:rPr>
  </w:style>
  <w:style w:type="character" w:customStyle="1" w:styleId="17">
    <w:name w:val="页脚 Char"/>
    <w:basedOn w:val="14"/>
    <w:link w:val="7"/>
    <w:uiPriority w:val="99"/>
    <w:rPr>
      <w:sz w:val="18"/>
      <w:szCs w:val="18"/>
    </w:rPr>
  </w:style>
  <w:style w:type="paragraph" w:styleId="18">
    <w:name w:val="List Paragraph"/>
    <w:basedOn w:val="1"/>
    <w:qFormat/>
    <w:uiPriority w:val="34"/>
    <w:pPr>
      <w:ind w:firstLine="420" w:firstLineChars="200"/>
    </w:pPr>
  </w:style>
  <w:style w:type="character" w:customStyle="1" w:styleId="19">
    <w:name w:val="批注框文本 Char"/>
    <w:basedOn w:val="14"/>
    <w:link w:val="6"/>
    <w:semiHidden/>
    <w:uiPriority w:val="99"/>
    <w:rPr>
      <w:sz w:val="18"/>
      <w:szCs w:val="18"/>
    </w:rPr>
  </w:style>
  <w:style w:type="character" w:customStyle="1" w:styleId="20">
    <w:name w:val="标题 1 Char"/>
    <w:basedOn w:val="14"/>
    <w:link w:val="2"/>
    <w:uiPriority w:val="9"/>
    <w:rPr>
      <w:b/>
      <w:bCs/>
      <w:kern w:val="44"/>
      <w:sz w:val="44"/>
      <w:szCs w:val="44"/>
    </w:rPr>
  </w:style>
  <w:style w:type="paragraph" w:customStyle="1" w:styleId="21">
    <w:name w:val="TOC Heading"/>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2F5597" w:themeColor="accent1" w:themeShade="BF"/>
      <w:kern w:val="0"/>
      <w:sz w:val="28"/>
      <w:szCs w:val="28"/>
    </w:rPr>
  </w:style>
  <w:style w:type="paragraph" w:customStyle="1" w:styleId="22">
    <w:name w:val="一级标题"/>
    <w:basedOn w:val="1"/>
    <w:next w:val="2"/>
    <w:link w:val="24"/>
    <w:qFormat/>
    <w:uiPriority w:val="0"/>
    <w:pPr>
      <w:widowControl/>
      <w:ind w:firstLine="482"/>
      <w:contextualSpacing/>
    </w:pPr>
    <w:rPr>
      <w:rFonts w:ascii="华文仿宋" w:hAnsi="华文仿宋" w:eastAsia="华文仿宋" w:cs="Calibri"/>
      <w:b/>
      <w:color w:val="000000"/>
      <w:kern w:val="0"/>
      <w:sz w:val="30"/>
      <w:szCs w:val="30"/>
    </w:rPr>
  </w:style>
  <w:style w:type="paragraph" w:customStyle="1" w:styleId="23">
    <w:name w:val="二级标题"/>
    <w:basedOn w:val="1"/>
    <w:link w:val="26"/>
    <w:qFormat/>
    <w:uiPriority w:val="0"/>
    <w:pPr>
      <w:widowControl/>
      <w:ind w:firstLine="480"/>
    </w:pPr>
    <w:rPr>
      <w:rFonts w:ascii="华文仿宋" w:hAnsi="华文仿宋" w:eastAsia="华文仿宋" w:cs="Calibri"/>
      <w:b/>
      <w:color w:val="000000"/>
      <w:kern w:val="0"/>
      <w:sz w:val="30"/>
      <w:szCs w:val="30"/>
    </w:rPr>
  </w:style>
  <w:style w:type="character" w:customStyle="1" w:styleId="24">
    <w:name w:val="一级标题 Char"/>
    <w:basedOn w:val="14"/>
    <w:link w:val="22"/>
    <w:uiPriority w:val="0"/>
    <w:rPr>
      <w:rFonts w:ascii="华文仿宋" w:hAnsi="华文仿宋" w:eastAsia="华文仿宋" w:cs="Calibri"/>
      <w:b/>
      <w:color w:val="000000"/>
      <w:kern w:val="0"/>
      <w:sz w:val="30"/>
      <w:szCs w:val="30"/>
    </w:rPr>
  </w:style>
  <w:style w:type="character" w:customStyle="1" w:styleId="25">
    <w:name w:val="标题 2 Char"/>
    <w:basedOn w:val="14"/>
    <w:link w:val="3"/>
    <w:uiPriority w:val="9"/>
    <w:rPr>
      <w:rFonts w:asciiTheme="majorHAnsi" w:hAnsiTheme="majorHAnsi" w:eastAsiaTheme="majorEastAsia" w:cstheme="majorBidi"/>
      <w:b/>
      <w:bCs/>
      <w:sz w:val="32"/>
      <w:szCs w:val="32"/>
    </w:rPr>
  </w:style>
  <w:style w:type="character" w:customStyle="1" w:styleId="26">
    <w:name w:val="二级标题 Char"/>
    <w:basedOn w:val="14"/>
    <w:link w:val="23"/>
    <w:uiPriority w:val="0"/>
    <w:rPr>
      <w:rFonts w:ascii="华文仿宋" w:hAnsi="华文仿宋" w:eastAsia="华文仿宋" w:cs="Calibri"/>
      <w:b/>
      <w:color w:val="000000"/>
      <w:kern w:val="0"/>
      <w:sz w:val="30"/>
      <w:szCs w:val="30"/>
    </w:rPr>
  </w:style>
  <w:style w:type="character" w:customStyle="1" w:styleId="27">
    <w:name w:val="标题 3 Char"/>
    <w:basedOn w:val="14"/>
    <w:link w:val="4"/>
    <w:semiHidden/>
    <w:uiPriority w:val="9"/>
    <w:rPr>
      <w:b/>
      <w:bCs/>
      <w:sz w:val="32"/>
      <w:szCs w:val="32"/>
    </w:rPr>
  </w:style>
  <w:style w:type="paragraph" w:customStyle="1" w:styleId="28">
    <w:name w:val="WPSOffice手动目录 1"/>
    <w:uiPriority w:val="0"/>
    <w:pPr>
      <w:ind w:leftChars="0"/>
    </w:pPr>
    <w:rPr>
      <w:rFonts w:ascii="Calibri" w:hAnsi="Calibri" w:eastAsia="宋体" w:cs="Calibri"/>
      <w:sz w:val="20"/>
      <w:szCs w:val="20"/>
    </w:rPr>
  </w:style>
  <w:style w:type="paragraph" w:customStyle="1" w:styleId="29">
    <w:name w:val="WPSOffice手动目录 2"/>
    <w:uiPriority w:val="0"/>
    <w:pPr>
      <w:ind w:leftChars="200"/>
    </w:pPr>
    <w:rPr>
      <w:rFonts w:ascii="Calibri" w:hAnsi="Calibri" w:eastAsia="宋体" w:cs="Calibri"/>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C81B43-A316-4E17-B9FE-088473AEFC0B}">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25</Pages>
  <Words>13198</Words>
  <Characters>14307</Characters>
  <Lines>100</Lines>
  <Paragraphs>28</Paragraphs>
  <TotalTime>5</TotalTime>
  <ScaleCrop>false</ScaleCrop>
  <LinksUpToDate>false</LinksUpToDate>
  <CharactersWithSpaces>14390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2021-09-13T07:24:00Z</dcterms:created>
  <dc:creator>Administrator</dc:creator>
  <cp:lastModifiedBy>Administrator</cp:lastModifiedBy>
  <cp:lastPrinted>2021-01-19T02:08:00Z</cp:lastPrinted>
  <dcterms:modified xsi:type="dcterms:W3CDTF">2021-09-27T07:07:00Z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358BD26CC0654FAA9FC60C8C1A174293</vt:lpwstr>
  </property>
</Properties>
</file>