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24" w:lineRule="auto"/>
        <w:jc w:val="center"/>
        <w:rPr>
          <w:rFonts w:hint="eastAsia" w:ascii="黑体" w:eastAsia="黑体"/>
          <w:b/>
          <w:color w:val="000000"/>
          <w:sz w:val="44"/>
        </w:rPr>
      </w:pPr>
    </w:p>
    <w:p>
      <w:pPr>
        <w:spacing w:beforeLines="0" w:afterLines="0" w:line="324" w:lineRule="auto"/>
        <w:jc w:val="center"/>
        <w:rPr>
          <w:rFonts w:hint="eastAsia" w:ascii="黑体" w:hAnsi="黑体" w:eastAsia="黑体"/>
          <w:b/>
          <w:color w:val="000000"/>
          <w:sz w:val="44"/>
          <w:highlight w:val="white"/>
        </w:rPr>
      </w:pPr>
      <w:r>
        <w:rPr>
          <w:rFonts w:hint="eastAsia" w:ascii="黑体" w:eastAsia="黑体"/>
          <w:b/>
          <w:color w:val="000000"/>
          <w:sz w:val="44"/>
        </w:rPr>
        <w:t>遂昌县</w:t>
      </w:r>
      <w:r>
        <w:rPr>
          <w:rFonts w:hint="eastAsia" w:ascii="黑体" w:eastAsia="黑体"/>
          <w:b/>
          <w:color w:val="000000"/>
          <w:sz w:val="44"/>
          <w:lang w:eastAsia="zh-CN"/>
        </w:rPr>
        <w:t>公务用车服务</w:t>
      </w:r>
      <w:r>
        <w:rPr>
          <w:rFonts w:hint="eastAsia" w:ascii="黑体" w:eastAsia="黑体"/>
          <w:b/>
          <w:color w:val="000000"/>
          <w:sz w:val="44"/>
        </w:rPr>
        <w:t>中心</w:t>
      </w:r>
      <w:r>
        <w:rPr>
          <w:rFonts w:hint="eastAsia" w:ascii="黑体" w:hAnsi="黑体" w:eastAsia="黑体"/>
          <w:b/>
          <w:color w:val="000000"/>
          <w:sz w:val="44"/>
          <w:highlight w:val="white"/>
        </w:rPr>
        <w:t>202</w:t>
      </w:r>
      <w:r>
        <w:rPr>
          <w:rFonts w:hint="eastAsia" w:ascii="黑体" w:hAnsi="黑体" w:eastAsia="黑体"/>
          <w:b/>
          <w:color w:val="000000"/>
          <w:sz w:val="44"/>
          <w:highlight w:val="white"/>
          <w:lang w:val="en-US" w:eastAsia="zh-CN"/>
        </w:rPr>
        <w:t>2</w:t>
      </w:r>
      <w:r>
        <w:rPr>
          <w:rFonts w:hint="eastAsia" w:ascii="黑体" w:hAnsi="黑体" w:eastAsia="黑体"/>
          <w:b/>
          <w:color w:val="000000"/>
          <w:sz w:val="44"/>
          <w:highlight w:val="white"/>
        </w:rPr>
        <w:t>年度</w:t>
      </w:r>
    </w:p>
    <w:p>
      <w:pPr>
        <w:spacing w:beforeLines="0" w:afterLines="0"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lang w:eastAsia="zh-CN"/>
        </w:rPr>
        <w:t>单位</w:t>
      </w:r>
      <w:r>
        <w:rPr>
          <w:rFonts w:hint="eastAsia" w:ascii="黑体" w:hAnsi="黑体" w:eastAsia="黑体"/>
          <w:b/>
          <w:color w:val="000000"/>
          <w:sz w:val="44"/>
          <w:highlight w:val="white"/>
        </w:rPr>
        <w:t>决算目录</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jc w:val="left"/>
        <w:textAlignment w:val="auto"/>
        <w:rPr>
          <w:rFonts w:hint="eastAsia" w:ascii="黑体" w:hAnsi="黑体" w:eastAsia="黑体" w:cs="Times New Roman"/>
          <w:color w:val="000000"/>
          <w:sz w:val="32"/>
          <w:szCs w:val="32"/>
          <w:highlight w:val="white"/>
          <w:lang w:val="zh-CN"/>
        </w:rPr>
      </w:pP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黑体" w:hAnsi="黑体" w:eastAsia="黑体" w:cs="Times New Roman"/>
          <w:color w:val="000000"/>
          <w:sz w:val="30"/>
          <w:szCs w:val="30"/>
          <w:highlight w:val="white"/>
          <w:lang w:val="zh-CN"/>
        </w:rPr>
        <w:t>一、概况</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（一）单位职责..............................</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（二）机构设置..............................</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黑体" w:hAnsi="黑体" w:eastAsia="黑体" w:cs="Times New Roman"/>
          <w:color w:val="000000"/>
          <w:sz w:val="30"/>
          <w:szCs w:val="30"/>
          <w:highlight w:val="white"/>
          <w:lang w:val="en-US"/>
        </w:rPr>
        <w:t>二、2022年度单位决算公开表</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rPr>
        <w:t>.</w:t>
      </w:r>
      <w:r>
        <w:rPr>
          <w:rFonts w:hint="eastAsia" w:ascii="仿宋" w:hAnsi="仿宋" w:eastAsia="仿宋" w:cs="仿宋"/>
          <w:color w:val="000000"/>
          <w:sz w:val="30"/>
          <w:szCs w:val="30"/>
          <w:highlight w:val="white"/>
          <w:lang w:val="zh-CN"/>
        </w:rPr>
        <w:t>...</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（一）收入支出决算总表............................</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（二）收入决算表（分单位）........................</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（三）收入决算表（分科目）........................</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仿宋" w:hAnsi="仿宋" w:eastAsia="仿宋" w:cs="仿宋"/>
          <w:color w:val="auto"/>
          <w:sz w:val="30"/>
          <w:szCs w:val="30"/>
          <w:lang w:val="en-US"/>
        </w:rPr>
      </w:pPr>
      <w:r>
        <w:rPr>
          <w:rFonts w:hint="eastAsia" w:ascii="仿宋" w:hAnsi="仿宋" w:eastAsia="仿宋" w:cs="仿宋"/>
          <w:color w:val="000000"/>
          <w:sz w:val="30"/>
          <w:szCs w:val="30"/>
          <w:highlight w:val="white"/>
          <w:lang w:val="en-US"/>
        </w:rPr>
        <w:t>（四）支出决算表（分单位）........................</w:t>
      </w:r>
      <w:r>
        <w:rPr>
          <w:rFonts w:hint="eastAsia" w:ascii="仿宋" w:hAnsi="仿宋" w:eastAsia="仿宋" w:cs="仿宋"/>
          <w:color w:val="000000"/>
          <w:sz w:val="30"/>
          <w:szCs w:val="30"/>
          <w:highlight w:val="white"/>
          <w:lang w:val="en-US" w:eastAsia="zh-CN"/>
        </w:rPr>
        <w:t xml:space="preserve">  </w:t>
      </w:r>
      <w:r>
        <w:rPr>
          <w:rFonts w:hint="eastAsia" w:ascii="仿宋" w:hAnsi="仿宋" w:eastAsia="仿宋" w:cs="仿宋"/>
          <w:color w:val="auto"/>
          <w:sz w:val="30"/>
          <w:szCs w:val="30"/>
          <w:lang w:val="en-US"/>
        </w:rPr>
        <w:t xml:space="preserve">( </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仿宋" w:hAnsi="仿宋" w:eastAsia="仿宋" w:cs="仿宋"/>
          <w:color w:val="000000"/>
          <w:sz w:val="30"/>
          <w:szCs w:val="30"/>
          <w:highlight w:val="white"/>
          <w:lang w:val="en-US"/>
        </w:rPr>
        <w:t>（五）支出决算表（分科</w:t>
      </w:r>
      <w:r>
        <w:rPr>
          <w:rFonts w:hint="eastAsia" w:ascii="方正仿宋_GB2312" w:hAnsi="方正仿宋_GB2312" w:eastAsia="方正仿宋_GB2312"/>
          <w:color w:val="000000"/>
          <w:sz w:val="30"/>
          <w:szCs w:val="30"/>
          <w:highlight w:val="white"/>
          <w:lang w:val="en-US"/>
        </w:rPr>
        <w:t>目）........................</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3</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（六）财政拨款收入支出决算总表....................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4</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（七）一般公共预算财政拨款支出决算表..............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4</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（八）一般公共预算财政拨款基本支出决算表..........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5</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（九）政府性基金预算财政拨款收入支出决算表.........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6</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（十）国有资本经营预算财政拨款支出决算表...........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6</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（十一）财政拨款</w:t>
      </w:r>
      <w:r>
        <w:rPr>
          <w:rFonts w:hint="default"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三公</w:t>
      </w:r>
      <w:r>
        <w:rPr>
          <w:rFonts w:hint="default"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经费支出决算表............</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6</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黑体" w:hAnsi="黑体" w:eastAsia="黑体"/>
          <w:color w:val="000000"/>
          <w:sz w:val="30"/>
          <w:szCs w:val="30"/>
          <w:highlight w:val="white"/>
          <w:lang w:val="en-US"/>
        </w:rPr>
      </w:pPr>
      <w:r>
        <w:rPr>
          <w:rFonts w:hint="eastAsia" w:ascii="黑体" w:hAnsi="黑体" w:eastAsia="黑体"/>
          <w:color w:val="000000"/>
          <w:sz w:val="30"/>
          <w:szCs w:val="30"/>
          <w:highlight w:val="white"/>
          <w:lang w:val="zh-CN"/>
        </w:rPr>
        <w:t>三、</w:t>
      </w:r>
      <w:r>
        <w:rPr>
          <w:rFonts w:hint="eastAsia" w:ascii="黑体" w:hAnsi="黑体" w:eastAsia="黑体"/>
          <w:color w:val="000000"/>
          <w:sz w:val="30"/>
          <w:szCs w:val="30"/>
          <w:highlight w:val="white"/>
          <w:lang w:val="en-US"/>
        </w:rPr>
        <w:t>2022年度单位决算情况说明</w:t>
      </w:r>
      <w:r>
        <w:rPr>
          <w:rFonts w:hint="eastAsia" w:ascii="方正仿宋_GB2312" w:hAnsi="方正仿宋_GB2312" w:eastAsia="方正仿宋_GB2312"/>
          <w:color w:val="000000"/>
          <w:sz w:val="30"/>
          <w:szCs w:val="30"/>
          <w:highlight w:val="white"/>
          <w:lang w:val="en-US"/>
        </w:rPr>
        <w:t>..............</w:t>
      </w:r>
      <w:r>
        <w:rPr>
          <w:rFonts w:hint="eastAsia" w:ascii="黑体" w:hAnsi="黑体" w:eastAsia="黑体"/>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eastAsia="zh-CN"/>
        </w:rPr>
        <w:t xml:space="preserve"> </w:t>
      </w:r>
      <w:r>
        <w:rPr>
          <w:rFonts w:hint="eastAsia" w:ascii="黑体" w:hAnsi="黑体" w:eastAsia="黑体"/>
          <w:color w:val="000000"/>
          <w:sz w:val="30"/>
          <w:szCs w:val="30"/>
          <w:highlight w:val="white"/>
          <w:lang w:val="en-US"/>
        </w:rPr>
        <w:t xml:space="preserve">( </w:t>
      </w:r>
      <w:r>
        <w:rPr>
          <w:rFonts w:hint="eastAsia" w:ascii="黑体" w:hAnsi="黑体" w:eastAsia="黑体"/>
          <w:color w:val="000000"/>
          <w:sz w:val="30"/>
          <w:szCs w:val="30"/>
          <w:highlight w:val="white"/>
          <w:lang w:val="en-US" w:eastAsia="zh-CN"/>
        </w:rPr>
        <w:t>7</w:t>
      </w:r>
      <w:r>
        <w:rPr>
          <w:rFonts w:hint="eastAsia" w:ascii="黑体" w:hAnsi="黑体" w:eastAsia="黑体"/>
          <w:color w:val="000000"/>
          <w:sz w:val="30"/>
          <w:szCs w:val="30"/>
          <w:highlight w:val="white"/>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（一）收入支出决算总体情况说明.................</w:t>
      </w:r>
      <w:r>
        <w:rPr>
          <w:rFonts w:hint="eastAsia" w:ascii="黑体" w:hAnsi="黑体" w:eastAsia="黑体"/>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w:t>
      </w:r>
      <w:r>
        <w:rPr>
          <w:rFonts w:hint="eastAsia" w:ascii="黑体" w:hAnsi="黑体" w:eastAsia="黑体"/>
          <w:color w:val="000000"/>
          <w:sz w:val="30"/>
          <w:szCs w:val="30"/>
          <w:highlight w:val="white"/>
          <w:lang w:val="en-US"/>
        </w:rPr>
        <w:t>.</w:t>
      </w:r>
      <w:r>
        <w:rPr>
          <w:rFonts w:hint="eastAsia" w:ascii="黑体" w:hAnsi="黑体" w:eastAsia="黑体"/>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7</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（二）收入决算情况说明.............................</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7</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（三）支出决算情况说明.............................</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7</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（四）财政拨款收入支出决算总体情况说明............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7</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（五）一般公共预算财政拨款支出决算情况说明........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8</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（六）一般公共预算财政拨款基本支出决算情况说明.....</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9</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（七）政府性基金预算财政拨款支出</w:t>
      </w:r>
      <w:r>
        <w:rPr>
          <w:rFonts w:hint="eastAsia" w:ascii="方正仿宋_GB2312" w:hAnsi="方正仿宋_GB2312" w:eastAsia="方正仿宋_GB2312"/>
          <w:color w:val="000000"/>
          <w:sz w:val="30"/>
          <w:szCs w:val="30"/>
          <w:highlight w:val="white"/>
          <w:lang w:val="zh-CN"/>
        </w:rPr>
        <w:t>决算</w:t>
      </w:r>
      <w:r>
        <w:rPr>
          <w:rFonts w:hint="eastAsia" w:ascii="方正仿宋_GB2312" w:hAnsi="方正仿宋_GB2312" w:eastAsia="方正仿宋_GB2312"/>
          <w:color w:val="000000"/>
          <w:sz w:val="30"/>
          <w:szCs w:val="30"/>
          <w:highlight w:val="white"/>
          <w:lang w:val="en-US"/>
        </w:rPr>
        <w:t>总体情况说明...</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9</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240" w:hanging="300" w:hangingChars="10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（八）国有资本经营预算财政拨款支出</w:t>
      </w:r>
      <w:r>
        <w:rPr>
          <w:rFonts w:hint="eastAsia" w:ascii="方正仿宋_GB2312" w:hAnsi="方正仿宋_GB2312" w:eastAsia="方正仿宋_GB2312"/>
          <w:color w:val="000000"/>
          <w:sz w:val="30"/>
          <w:szCs w:val="30"/>
          <w:highlight w:val="white"/>
          <w:lang w:val="zh-CN"/>
        </w:rPr>
        <w:t>决算</w:t>
      </w:r>
      <w:r>
        <w:rPr>
          <w:rFonts w:hint="eastAsia" w:ascii="方正仿宋_GB2312" w:hAnsi="方正仿宋_GB2312" w:eastAsia="方正仿宋_GB2312"/>
          <w:color w:val="000000"/>
          <w:sz w:val="30"/>
          <w:szCs w:val="30"/>
          <w:highlight w:val="white"/>
          <w:lang w:val="en-US"/>
        </w:rPr>
        <w:t>总体情况说明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11</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（九）财政拨款</w:t>
      </w:r>
      <w:r>
        <w:rPr>
          <w:rFonts w:hint="default"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三公</w:t>
      </w:r>
      <w:r>
        <w:rPr>
          <w:rFonts w:hint="default"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经费支出决算情况说明.........</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11</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（十）机关运行经费支出说明........................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13</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（十一）政府采购支出说明..........................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13</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000000"/>
          <w:sz w:val="30"/>
          <w:szCs w:val="30"/>
          <w:highlight w:val="white"/>
          <w:lang w:val="en-US"/>
        </w:rPr>
      </w:pPr>
      <w:r>
        <w:rPr>
          <w:rFonts w:hint="eastAsia" w:ascii="方正仿宋_GB2312" w:hAnsi="方正仿宋_GB2312" w:eastAsia="方正仿宋_GB2312"/>
          <w:color w:val="000000"/>
          <w:sz w:val="30"/>
          <w:szCs w:val="30"/>
          <w:highlight w:val="white"/>
          <w:lang w:val="en-US"/>
        </w:rPr>
        <w:t>（十二）国有资产占有使用情况说明..................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13</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方正仿宋_GB2312" w:hAnsi="方正仿宋_GB2312" w:eastAsia="方正仿宋_GB2312"/>
          <w:color w:val="auto"/>
          <w:sz w:val="30"/>
          <w:szCs w:val="30"/>
          <w:lang w:val="en-US"/>
        </w:rPr>
      </w:pPr>
      <w:r>
        <w:rPr>
          <w:rFonts w:hint="eastAsia" w:ascii="方正仿宋_GB2312" w:hAnsi="方正仿宋_GB2312" w:eastAsia="方正仿宋_GB2312"/>
          <w:color w:val="000000"/>
          <w:sz w:val="30"/>
          <w:szCs w:val="30"/>
          <w:highlight w:val="white"/>
          <w:lang w:val="en-US"/>
        </w:rPr>
        <w:t>（十三）预算绩效情况说明..........................</w:t>
      </w:r>
      <w:r>
        <w:rPr>
          <w:rFonts w:hint="eastAsia" w:ascii="方正仿宋_GB2312" w:hAnsi="方正仿宋_GB2312" w:eastAsia="方正仿宋_GB2312"/>
          <w:color w:val="000000"/>
          <w:sz w:val="30"/>
          <w:szCs w:val="30"/>
          <w:highlight w:val="white"/>
          <w:lang w:val="en-US" w:eastAsia="zh-CN"/>
        </w:rPr>
        <w:t xml:space="preserve"> </w:t>
      </w:r>
      <w:r>
        <w:rPr>
          <w:rFonts w:hint="eastAsia" w:ascii="方正仿宋_GB2312" w:hAnsi="方正仿宋_GB2312" w:eastAsia="方正仿宋_GB2312"/>
          <w:color w:val="auto"/>
          <w:sz w:val="30"/>
          <w:szCs w:val="30"/>
          <w:lang w:val="en-US"/>
        </w:rPr>
        <w:t xml:space="preserve">( </w:t>
      </w:r>
      <w:r>
        <w:rPr>
          <w:rFonts w:hint="eastAsia" w:ascii="方正仿宋_GB2312" w:hAnsi="方正仿宋_GB2312" w:eastAsia="方正仿宋_GB2312"/>
          <w:color w:val="auto"/>
          <w:sz w:val="30"/>
          <w:szCs w:val="30"/>
          <w:lang w:val="en-US" w:eastAsia="zh-CN"/>
        </w:rPr>
        <w:t>14</w:t>
      </w:r>
      <w:r>
        <w:rPr>
          <w:rFonts w:hint="eastAsia" w:ascii="方正仿宋_GB2312" w:hAnsi="方正仿宋_GB2312" w:eastAsia="方正仿宋_GB2312"/>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黑体" w:hAnsi="黑体" w:eastAsia="黑体"/>
          <w:color w:val="auto"/>
          <w:sz w:val="30"/>
          <w:szCs w:val="30"/>
          <w:lang w:val="en-US"/>
        </w:rPr>
      </w:pPr>
      <w:r>
        <w:rPr>
          <w:rFonts w:hint="eastAsia" w:ascii="黑体" w:hAnsi="黑体" w:eastAsia="黑体"/>
          <w:color w:val="000000"/>
          <w:sz w:val="30"/>
          <w:szCs w:val="30"/>
          <w:highlight w:val="white"/>
          <w:lang w:val="en-US"/>
        </w:rPr>
        <w:t>四、名词解释........................</w:t>
      </w:r>
      <w:r>
        <w:rPr>
          <w:rFonts w:hint="eastAsia" w:ascii="方正仿宋_GB2312" w:hAnsi="方正仿宋_GB2312" w:eastAsia="方正仿宋_GB2312"/>
          <w:color w:val="000000"/>
          <w:sz w:val="30"/>
          <w:szCs w:val="30"/>
          <w:highlight w:val="white"/>
          <w:lang w:val="en-US"/>
        </w:rPr>
        <w:t>...............</w:t>
      </w:r>
      <w:r>
        <w:rPr>
          <w:rFonts w:hint="eastAsia" w:ascii="黑体" w:hAnsi="黑体" w:eastAsia="黑体"/>
          <w:color w:val="auto"/>
          <w:sz w:val="30"/>
          <w:szCs w:val="30"/>
          <w:lang w:val="en-US"/>
        </w:rPr>
        <w:t xml:space="preserve">( </w:t>
      </w:r>
      <w:r>
        <w:rPr>
          <w:rFonts w:hint="eastAsia" w:ascii="黑体" w:hAnsi="黑体" w:eastAsia="黑体"/>
          <w:color w:val="auto"/>
          <w:sz w:val="30"/>
          <w:szCs w:val="30"/>
          <w:lang w:val="en-US" w:eastAsia="zh-CN"/>
        </w:rPr>
        <w:t>16</w:t>
      </w:r>
      <w:r>
        <w:rPr>
          <w:rFonts w:hint="eastAsia" w:ascii="黑体" w:hAnsi="黑体" w:eastAsia="黑体"/>
          <w:color w:val="auto"/>
          <w:sz w:val="30"/>
          <w:szCs w:val="30"/>
          <w:lang w:val="en-US"/>
        </w:rPr>
        <w:t xml:space="preserve"> )</w:t>
      </w:r>
    </w:p>
    <w:p>
      <w:pPr>
        <w:keepNext w:val="0"/>
        <w:keepLines w:val="0"/>
        <w:pageBreakBefore w:val="0"/>
        <w:widowControl/>
        <w:kinsoku/>
        <w:wordWrap/>
        <w:overflowPunct/>
        <w:topLinePunct w:val="0"/>
        <w:autoSpaceDE/>
        <w:autoSpaceDN/>
        <w:bidi w:val="0"/>
        <w:adjustRightInd/>
        <w:snapToGrid/>
        <w:spacing w:beforeLines="0" w:afterLines="0" w:line="660" w:lineRule="exact"/>
        <w:ind w:left="0"/>
        <w:jc w:val="left"/>
        <w:textAlignment w:val="auto"/>
        <w:rPr>
          <w:rFonts w:hint="eastAsia" w:ascii="黑体" w:hAnsi="黑体" w:eastAsia="黑体"/>
          <w:color w:val="auto"/>
          <w:sz w:val="30"/>
          <w:szCs w:val="30"/>
          <w:lang w:val="en-US"/>
        </w:rPr>
      </w:pPr>
      <w:r>
        <w:rPr>
          <w:rFonts w:hint="eastAsia" w:ascii="黑体" w:hAnsi="黑体" w:eastAsia="黑体"/>
          <w:color w:val="auto"/>
          <w:sz w:val="30"/>
          <w:szCs w:val="30"/>
          <w:lang w:val="en-US"/>
        </w:rPr>
        <w:t>五、附件</w:t>
      </w:r>
      <w:r>
        <w:rPr>
          <w:rFonts w:hint="eastAsia" w:ascii="黑体" w:hAnsi="黑体" w:eastAsia="黑体"/>
          <w:color w:val="000000"/>
          <w:sz w:val="30"/>
          <w:szCs w:val="30"/>
          <w:highlight w:val="white"/>
          <w:lang w:val="en-US"/>
        </w:rPr>
        <w:t>......</w:t>
      </w:r>
      <w:r>
        <w:rPr>
          <w:rFonts w:hint="eastAsia" w:ascii="黑体" w:hAnsi="黑体" w:eastAsia="黑体"/>
          <w:color w:val="000000"/>
          <w:sz w:val="30"/>
          <w:szCs w:val="30"/>
          <w:highlight w:val="white"/>
          <w:lang w:val="zh-CN"/>
        </w:rPr>
        <w:t>.....</w:t>
      </w:r>
      <w:r>
        <w:rPr>
          <w:rFonts w:hint="eastAsia" w:ascii="黑体" w:hAnsi="黑体" w:eastAsia="黑体"/>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rPr>
        <w:t>...................</w:t>
      </w:r>
      <w:r>
        <w:rPr>
          <w:rFonts w:hint="eastAsia" w:ascii="方正仿宋_GB2312" w:hAnsi="方正仿宋_GB2312" w:eastAsia="方正仿宋_GB2312"/>
          <w:color w:val="000000"/>
          <w:sz w:val="30"/>
          <w:szCs w:val="30"/>
          <w:highlight w:val="white"/>
          <w:lang w:val="en-US" w:eastAsia="zh-CN"/>
        </w:rPr>
        <w:t xml:space="preserve"> </w:t>
      </w:r>
      <w:r>
        <w:rPr>
          <w:rFonts w:hint="eastAsia" w:ascii="黑体" w:hAnsi="黑体" w:eastAsia="黑体"/>
          <w:color w:val="auto"/>
          <w:sz w:val="30"/>
          <w:szCs w:val="30"/>
          <w:lang w:val="en-US"/>
        </w:rPr>
        <w:t xml:space="preserve">( </w:t>
      </w:r>
      <w:r>
        <w:rPr>
          <w:rFonts w:hint="eastAsia" w:ascii="黑体" w:hAnsi="黑体" w:eastAsia="黑体"/>
          <w:color w:val="auto"/>
          <w:sz w:val="30"/>
          <w:szCs w:val="30"/>
          <w:lang w:val="en-US" w:eastAsia="zh-CN"/>
        </w:rPr>
        <w:t>20</w:t>
      </w:r>
      <w:r>
        <w:rPr>
          <w:rFonts w:hint="eastAsia" w:ascii="黑体" w:hAnsi="黑体" w:eastAsia="黑体"/>
          <w:color w:val="auto"/>
          <w:sz w:val="30"/>
          <w:szCs w:val="30"/>
          <w:lang w:val="en-US"/>
        </w:rPr>
        <w:t xml:space="preserve"> )</w:t>
      </w:r>
    </w:p>
    <w:p>
      <w:pPr>
        <w:keepNext/>
        <w:keepLines/>
        <w:spacing w:beforeLines="0" w:afterLines="0" w:line="600" w:lineRule="exact"/>
        <w:ind w:firstLine="641"/>
        <w:jc w:val="left"/>
        <w:rPr>
          <w:rFonts w:hint="eastAsia" w:ascii="黑体" w:hAnsi="黑体" w:eastAsia="黑体"/>
          <w:b/>
          <w:i/>
          <w:iCs/>
          <w:color w:val="000000"/>
          <w:sz w:val="32"/>
          <w:highlight w:val="white"/>
          <w:lang w:val="en-US"/>
        </w:rPr>
      </w:pPr>
    </w:p>
    <w:p>
      <w:pPr>
        <w:keepNext/>
        <w:keepLines/>
        <w:spacing w:beforeLines="0" w:afterLines="0" w:line="600" w:lineRule="exact"/>
        <w:ind w:firstLine="641"/>
        <w:jc w:val="left"/>
        <w:rPr>
          <w:rFonts w:hint="eastAsia" w:ascii="黑体" w:hAnsi="黑体" w:eastAsia="黑体"/>
          <w:b/>
          <w:i/>
          <w:iCs/>
          <w:color w:val="000000"/>
          <w:sz w:val="32"/>
          <w:highlight w:val="white"/>
          <w:lang w:val="en-US"/>
        </w:rPr>
      </w:pPr>
    </w:p>
    <w:p>
      <w:pPr>
        <w:keepNext/>
        <w:keepLines/>
        <w:spacing w:beforeLines="0" w:afterLines="0" w:line="600" w:lineRule="exact"/>
        <w:ind w:firstLine="641"/>
        <w:jc w:val="left"/>
        <w:rPr>
          <w:rFonts w:hint="eastAsia" w:ascii="黑体" w:hAnsi="黑体" w:eastAsia="黑体"/>
          <w:b/>
          <w:i/>
          <w:iCs/>
          <w:color w:val="000000"/>
          <w:sz w:val="32"/>
          <w:highlight w:val="white"/>
          <w:lang w:val="en-US"/>
        </w:rPr>
      </w:pPr>
    </w:p>
    <w:p>
      <w:pPr>
        <w:keepNext/>
        <w:keepLines/>
        <w:spacing w:beforeLines="0" w:afterLines="0" w:line="600" w:lineRule="exact"/>
        <w:ind w:firstLine="641"/>
        <w:jc w:val="left"/>
        <w:rPr>
          <w:rFonts w:hint="eastAsia" w:ascii="黑体" w:hAnsi="黑体" w:eastAsia="黑体"/>
          <w:b/>
          <w:i/>
          <w:iCs/>
          <w:color w:val="000000"/>
          <w:sz w:val="32"/>
          <w:highlight w:val="white"/>
          <w:lang w:val="en-US"/>
        </w:rPr>
      </w:pPr>
    </w:p>
    <w:p>
      <w:pPr>
        <w:keepNext/>
        <w:keepLines/>
        <w:spacing w:beforeLines="0" w:afterLines="0" w:line="600" w:lineRule="exact"/>
        <w:ind w:firstLine="641"/>
        <w:jc w:val="left"/>
        <w:rPr>
          <w:rFonts w:hint="eastAsia" w:ascii="黑体" w:hAnsi="黑体" w:eastAsia="黑体"/>
          <w:b/>
          <w:i/>
          <w:iCs/>
          <w:color w:val="000000"/>
          <w:sz w:val="32"/>
          <w:highlight w:val="white"/>
          <w:lang w:val="en-US"/>
        </w:rPr>
      </w:pPr>
    </w:p>
    <w:p>
      <w:pPr>
        <w:keepNext/>
        <w:keepLines/>
        <w:spacing w:beforeLines="0" w:afterLines="0" w:line="600" w:lineRule="exact"/>
        <w:ind w:firstLine="643" w:firstLineChars="200"/>
        <w:jc w:val="left"/>
        <w:rPr>
          <w:rFonts w:hint="eastAsia" w:ascii="黑体" w:hAnsi="黑体" w:eastAsia="黑体"/>
          <w:b/>
          <w:i/>
          <w:iCs/>
          <w:color w:val="000000"/>
          <w:sz w:val="32"/>
          <w:highlight w:val="white"/>
          <w:lang w:val="en-US"/>
        </w:rPr>
      </w:pPr>
    </w:p>
    <w:p>
      <w:pPr>
        <w:keepNext/>
        <w:keepLines/>
        <w:spacing w:beforeLines="0" w:afterLines="0" w:line="600" w:lineRule="exact"/>
        <w:ind w:firstLine="643" w:firstLineChars="200"/>
        <w:jc w:val="left"/>
        <w:rPr>
          <w:rFonts w:hint="eastAsia" w:ascii="黑体" w:hAnsi="黑体" w:eastAsia="黑体"/>
          <w:b/>
          <w:color w:val="000000"/>
          <w:sz w:val="32"/>
          <w:highlight w:val="white"/>
          <w:lang w:val="en-US"/>
        </w:rPr>
      </w:pPr>
      <w:r>
        <w:rPr>
          <w:rFonts w:hint="eastAsia" w:ascii="黑体" w:hAnsi="黑体" w:eastAsia="黑体"/>
          <w:b/>
          <w:i/>
          <w:iCs/>
          <w:color w:val="000000"/>
          <w:sz w:val="32"/>
          <w:highlight w:val="white"/>
          <w:lang w:val="en-US"/>
        </w:rPr>
        <w:t>一</w:t>
      </w:r>
      <w:r>
        <w:rPr>
          <w:rFonts w:hint="eastAsia" w:ascii="黑体" w:hAnsi="黑体" w:eastAsia="黑体"/>
          <w:b/>
          <w:color w:val="000000"/>
          <w:sz w:val="32"/>
          <w:highlight w:val="white"/>
          <w:lang w:val="en-US"/>
        </w:rPr>
        <w:t>、概况</w:t>
      </w:r>
    </w:p>
    <w:p>
      <w:pPr>
        <w:autoSpaceDE w:val="0"/>
        <w:autoSpaceDN w:val="0"/>
        <w:adjustRightInd w:val="0"/>
        <w:spacing w:beforeLines="0" w:afterLines="0" w:line="324" w:lineRule="auto"/>
        <w:ind w:firstLine="630" w:firstLineChars="196"/>
        <w:rPr>
          <w:rFonts w:hint="default" w:ascii="楷体" w:hAnsi="Times New Roman" w:eastAsia="楷体"/>
          <w:b/>
          <w:color w:val="000000"/>
          <w:sz w:val="32"/>
          <w:highlight w:val="white"/>
        </w:rPr>
      </w:pPr>
      <w:r>
        <w:rPr>
          <w:rFonts w:hint="eastAsia" w:ascii="楷体" w:hAnsi="Times New Roman" w:eastAsia="楷体"/>
          <w:b/>
          <w:color w:val="000000"/>
          <w:sz w:val="32"/>
          <w:highlight w:val="white"/>
        </w:rPr>
        <w:t>（一）</w:t>
      </w:r>
      <w:r>
        <w:rPr>
          <w:rFonts w:hint="eastAsia" w:ascii="楷体" w:hAnsi="Times New Roman" w:eastAsia="楷体"/>
          <w:b/>
          <w:color w:val="000000"/>
          <w:sz w:val="32"/>
          <w:highlight w:val="white"/>
          <w:lang w:eastAsia="zh-CN"/>
        </w:rPr>
        <w:t>遂昌县公务用车服务中心</w:t>
      </w:r>
      <w:r>
        <w:rPr>
          <w:rFonts w:hint="eastAsia" w:ascii="楷体" w:hAnsi="Times New Roman" w:eastAsia="楷体"/>
          <w:b/>
          <w:color w:val="000000"/>
          <w:sz w:val="32"/>
          <w:highlight w:val="white"/>
        </w:rPr>
        <w:t>主要职责</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_GB2312" w:hAnsi="仿宋_GB2312" w:eastAsia="仿宋_GB2312" w:cs="仿宋_GB2312"/>
          <w:color w:val="auto"/>
          <w:kern w:val="2"/>
          <w:sz w:val="24"/>
          <w:szCs w:val="24"/>
          <w:highlight w:val="none"/>
          <w:lang w:val="en-US" w:eastAsia="zh-CN" w:bidi="ar"/>
        </w:rPr>
        <w:t>1、</w:t>
      </w:r>
      <w:r>
        <w:rPr>
          <w:rFonts w:hint="eastAsia" w:ascii="仿宋" w:hAnsi="Times New Roman" w:eastAsia="仿宋"/>
          <w:color w:val="000000"/>
          <w:sz w:val="32"/>
          <w:highlight w:val="white"/>
          <w:lang w:val="en-US" w:eastAsia="zh-CN"/>
        </w:rPr>
        <w:t>负责公务车辆的集中管理、维修保养、安全运行、实时监控、提出更新计划。</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 w:hAnsi="Times New Roman" w:eastAsia="仿宋"/>
          <w:color w:val="000000"/>
          <w:sz w:val="32"/>
          <w:highlight w:val="white"/>
          <w:lang w:val="en-US" w:eastAsia="zh-CN"/>
        </w:rPr>
        <w:t>2、负责对县直机关重要公务接待、重大集体活动、抢险救灾、应急突发事件处置等应急用车和传送机要文件等机要用车，四套班子领导应急、调研用车以及远程用车的统一调度、派遣服务、成本结算等服务保障工作。</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 w:hAnsi="Times New Roman" w:eastAsia="仿宋"/>
          <w:color w:val="000000"/>
          <w:sz w:val="32"/>
          <w:highlight w:val="white"/>
          <w:lang w:val="en-US" w:eastAsia="zh-CN"/>
        </w:rPr>
        <w:t>3、负责对驾驶员的管理教育、业务培训、检查考核、勤务保障工作，督促驾驶员准时出车、安全行车、文明服务。</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 w:hAnsi="Times New Roman" w:eastAsia="仿宋"/>
          <w:color w:val="000000"/>
          <w:sz w:val="32"/>
          <w:highlight w:val="white"/>
          <w:lang w:val="en-US" w:eastAsia="zh-CN"/>
        </w:rPr>
        <w:t>4、协助完成重大会议及重要公务活动的</w:t>
      </w:r>
      <w:r>
        <w:rPr>
          <w:rFonts w:hint="eastAsia" w:ascii="仿宋" w:hAnsi="Times New Roman" w:eastAsia="仿宋"/>
          <w:color w:val="000000"/>
          <w:sz w:val="32"/>
          <w:highlight w:val="white"/>
          <w:lang w:val="en-US" w:eastAsia="zh-CN"/>
        </w:rPr>
        <w:fldChar w:fldCharType="begin"/>
      </w:r>
      <w:r>
        <w:rPr>
          <w:rFonts w:hint="eastAsia" w:ascii="仿宋" w:hAnsi="Times New Roman" w:eastAsia="仿宋"/>
          <w:color w:val="000000"/>
          <w:sz w:val="32"/>
          <w:highlight w:val="white"/>
          <w:lang w:val="en-US" w:eastAsia="zh-CN"/>
        </w:rPr>
        <w:instrText xml:space="preserve"> HYPERLINK "http://baike.sogou.com/lemma/ShowInnerLink.htm?lemmaId=7698803&amp;ss_c=ssc.citiao.link" \t "_blank" </w:instrText>
      </w:r>
      <w:r>
        <w:rPr>
          <w:rFonts w:hint="eastAsia" w:ascii="仿宋" w:hAnsi="Times New Roman" w:eastAsia="仿宋"/>
          <w:color w:val="000000"/>
          <w:sz w:val="32"/>
          <w:highlight w:val="white"/>
          <w:lang w:val="en-US" w:eastAsia="zh-CN"/>
        </w:rPr>
        <w:fldChar w:fldCharType="separate"/>
      </w:r>
      <w:r>
        <w:rPr>
          <w:rFonts w:hint="eastAsia" w:ascii="仿宋" w:hAnsi="Times New Roman" w:eastAsia="仿宋"/>
          <w:color w:val="000000"/>
          <w:sz w:val="32"/>
          <w:highlight w:val="white"/>
          <w:lang w:val="en-US" w:eastAsia="zh-CN"/>
        </w:rPr>
        <w:t>车辆调度</w:t>
      </w:r>
      <w:r>
        <w:rPr>
          <w:rFonts w:hint="eastAsia" w:ascii="仿宋" w:hAnsi="Times New Roman" w:eastAsia="仿宋"/>
          <w:color w:val="000000"/>
          <w:sz w:val="32"/>
          <w:highlight w:val="white"/>
          <w:lang w:val="en-US" w:eastAsia="zh-CN"/>
        </w:rPr>
        <w:fldChar w:fldCharType="end"/>
      </w:r>
      <w:r>
        <w:rPr>
          <w:rFonts w:hint="eastAsia" w:ascii="仿宋" w:hAnsi="Times New Roman" w:eastAsia="仿宋"/>
          <w:color w:val="000000"/>
          <w:sz w:val="32"/>
          <w:highlight w:val="white"/>
          <w:lang w:val="en-US" w:eastAsia="zh-CN"/>
        </w:rPr>
        <w:t xml:space="preserve">和保障工作。 </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 w:hAnsi="Times New Roman" w:eastAsia="仿宋"/>
          <w:color w:val="000000"/>
          <w:sz w:val="32"/>
          <w:highlight w:val="white"/>
          <w:lang w:val="en-US" w:eastAsia="zh-CN"/>
        </w:rPr>
        <w:t>5、协助监管乡镇（街道）公务用车。</w:t>
      </w:r>
    </w:p>
    <w:p>
      <w:pPr>
        <w:spacing w:beforeLines="0" w:afterLines="0" w:line="324" w:lineRule="auto"/>
        <w:ind w:firstLine="594"/>
        <w:rPr>
          <w:rFonts w:hint="eastAsia" w:ascii="仿宋" w:hAnsi="Times New Roman" w:eastAsia="仿宋"/>
          <w:color w:val="000000"/>
          <w:sz w:val="32"/>
          <w:highlight w:val="white"/>
          <w:lang w:val="en-US" w:eastAsia="zh-CN"/>
        </w:rPr>
      </w:pPr>
      <w:r>
        <w:rPr>
          <w:rFonts w:hint="eastAsia" w:ascii="仿宋" w:hAnsi="Times New Roman" w:eastAsia="仿宋"/>
          <w:color w:val="000000"/>
          <w:sz w:val="32"/>
          <w:highlight w:val="white"/>
          <w:lang w:val="en-US" w:eastAsia="zh-CN"/>
        </w:rPr>
        <w:t>6、完成上级交办的其他工作任务。</w:t>
      </w:r>
    </w:p>
    <w:p>
      <w:pPr>
        <w:spacing w:beforeLines="0" w:afterLines="0" w:line="324" w:lineRule="auto"/>
        <w:ind w:firstLine="594"/>
        <w:rPr>
          <w:rFonts w:hint="eastAsia" w:ascii="仿宋" w:hAnsi="Times New Roman" w:eastAsia="仿宋" w:cs="Times New Roman"/>
          <w:b/>
          <w:bCs/>
          <w:color w:val="000000"/>
          <w:sz w:val="32"/>
          <w:highlight w:val="white"/>
          <w:lang w:val="en-US" w:eastAsia="zh-CN"/>
        </w:rPr>
      </w:pPr>
      <w:r>
        <w:rPr>
          <w:rFonts w:hint="eastAsia" w:ascii="仿宋" w:hAnsi="Times New Roman" w:eastAsia="仿宋" w:cs="Times New Roman"/>
          <w:b/>
          <w:bCs/>
          <w:color w:val="000000"/>
          <w:sz w:val="32"/>
          <w:highlight w:val="white"/>
          <w:lang w:val="en-US" w:eastAsia="zh-CN"/>
        </w:rPr>
        <w:t>（二）机构设置</w:t>
      </w:r>
    </w:p>
    <w:p>
      <w:pPr>
        <w:spacing w:beforeLines="0" w:afterLines="0" w:line="324" w:lineRule="auto"/>
        <w:ind w:firstLine="594"/>
        <w:rPr>
          <w:rFonts w:hint="eastAsia" w:ascii="仿宋" w:hAnsi="Times New Roman" w:eastAsia="仿宋" w:cs="Times New Roman"/>
          <w:color w:val="000000"/>
          <w:sz w:val="32"/>
          <w:highlight w:val="white"/>
          <w:lang w:val="en-US" w:eastAsia="zh-CN"/>
        </w:rPr>
      </w:pPr>
      <w:r>
        <w:rPr>
          <w:rFonts w:hint="eastAsia" w:ascii="仿宋" w:hAnsi="Times New Roman" w:eastAsia="仿宋" w:cs="Times New Roman"/>
          <w:color w:val="000000"/>
          <w:sz w:val="32"/>
          <w:highlight w:val="white"/>
          <w:lang w:val="en-US" w:eastAsia="zh-CN"/>
        </w:rPr>
        <w:t>从预算单位构成看，本单位下设办公室、调度科、安全机务科三个职能科室，调度科下设二个驾驶分队。</w:t>
      </w:r>
    </w:p>
    <w:p>
      <w:pPr>
        <w:spacing w:beforeLines="0" w:afterLines="0" w:line="324" w:lineRule="auto"/>
        <w:ind w:firstLine="594"/>
        <w:rPr>
          <w:rFonts w:hint="eastAsia" w:ascii="仿宋" w:hAnsi="Times New Roman" w:eastAsia="仿宋" w:cs="Times New Roman"/>
          <w:b/>
          <w:bCs/>
          <w:color w:val="000000"/>
          <w:sz w:val="32"/>
          <w:highlight w:val="white"/>
          <w:lang w:val="en-US" w:eastAsia="zh-CN"/>
        </w:rPr>
      </w:pPr>
      <w:r>
        <w:rPr>
          <w:rFonts w:hint="eastAsia" w:ascii="仿宋" w:hAnsi="Times New Roman" w:eastAsia="仿宋" w:cs="Times New Roman"/>
          <w:b/>
          <w:bCs/>
          <w:color w:val="000000"/>
          <w:sz w:val="32"/>
          <w:highlight w:val="white"/>
          <w:lang w:val="en-US" w:eastAsia="zh-CN"/>
        </w:rPr>
        <w:t>二、2022年度单位决算公开表</w:t>
      </w:r>
    </w:p>
    <w:p>
      <w:pPr>
        <w:spacing w:beforeLines="0" w:afterLines="0" w:line="324" w:lineRule="auto"/>
        <w:ind w:left="0" w:leftChars="0" w:firstLine="0" w:firstLineChars="0"/>
        <w:jc w:val="both"/>
        <w:rPr>
          <w:rFonts w:hint="eastAsia" w:ascii="仿宋" w:hAnsi="Times New Roman" w:eastAsia="仿宋" w:cs="Times New Roman"/>
          <w:b/>
          <w:bCs/>
          <w:color w:val="000000"/>
          <w:sz w:val="32"/>
          <w:highlight w:val="white"/>
          <w:lang w:val="zh-CN" w:eastAsia="zh-CN"/>
        </w:rPr>
      </w:pPr>
      <w:r>
        <w:drawing>
          <wp:inline distT="0" distB="0" distL="114300" distR="114300">
            <wp:extent cx="5480685" cy="6089015"/>
            <wp:effectExtent l="0" t="0" r="5715" b="6985"/>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4"/>
                    <a:stretch>
                      <a:fillRect/>
                    </a:stretch>
                  </pic:blipFill>
                  <pic:spPr>
                    <a:xfrm>
                      <a:off x="0" y="0"/>
                      <a:ext cx="5480685" cy="6089015"/>
                    </a:xfrm>
                    <a:prstGeom prst="rect">
                      <a:avLst/>
                    </a:prstGeom>
                    <a:noFill/>
                    <a:ln>
                      <a:noFill/>
                    </a:ln>
                  </pic:spPr>
                </pic:pic>
              </a:graphicData>
            </a:graphic>
          </wp:inline>
        </w:drawing>
      </w:r>
      <w:r>
        <w:drawing>
          <wp:inline distT="0" distB="0" distL="114300" distR="114300">
            <wp:extent cx="5480050" cy="2747645"/>
            <wp:effectExtent l="0" t="0" r="6350" b="14605"/>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5"/>
                    <a:stretch>
                      <a:fillRect/>
                    </a:stretch>
                  </pic:blipFill>
                  <pic:spPr>
                    <a:xfrm>
                      <a:off x="0" y="0"/>
                      <a:ext cx="5480050" cy="2747645"/>
                    </a:xfrm>
                    <a:prstGeom prst="rect">
                      <a:avLst/>
                    </a:prstGeom>
                    <a:noFill/>
                    <a:ln>
                      <a:noFill/>
                    </a:ln>
                  </pic:spPr>
                </pic:pic>
              </a:graphicData>
            </a:graphic>
          </wp:inline>
        </w:drawing>
      </w:r>
    </w:p>
    <w:p>
      <w:pPr>
        <w:keepNext/>
        <w:keepLines/>
        <w:pageBreakBefore w:val="0"/>
        <w:widowControl/>
        <w:kinsoku/>
        <w:wordWrap/>
        <w:overflowPunct/>
        <w:topLinePunct w:val="0"/>
        <w:autoSpaceDE/>
        <w:autoSpaceDN/>
        <w:bidi w:val="0"/>
        <w:adjustRightInd/>
        <w:snapToGrid/>
        <w:spacing w:line="240" w:lineRule="auto"/>
        <w:ind w:left="0" w:leftChars="0" w:firstLine="0" w:firstLineChars="0"/>
        <w:jc w:val="left"/>
        <w:rPr>
          <w:rFonts w:hint="eastAsia" w:ascii="黑体" w:hAnsi="黑体" w:eastAsia="黑体"/>
          <w:b/>
          <w:color w:val="000000"/>
          <w:sz w:val="32"/>
          <w:highlight w:val="white"/>
          <w:lang w:val="zh-CN"/>
        </w:rPr>
      </w:pPr>
      <w:r>
        <w:drawing>
          <wp:inline distT="0" distB="0" distL="114300" distR="114300">
            <wp:extent cx="5483860" cy="3449320"/>
            <wp:effectExtent l="0" t="0" r="2540" b="17780"/>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pic:cNvPicPr>
                      <a:picLocks noChangeAspect="1"/>
                    </pic:cNvPicPr>
                  </pic:nvPicPr>
                  <pic:blipFill>
                    <a:blip r:embed="rId6"/>
                    <a:stretch>
                      <a:fillRect/>
                    </a:stretch>
                  </pic:blipFill>
                  <pic:spPr>
                    <a:xfrm>
                      <a:off x="0" y="0"/>
                      <a:ext cx="5483860" cy="3449320"/>
                    </a:xfrm>
                    <a:prstGeom prst="rect">
                      <a:avLst/>
                    </a:prstGeom>
                    <a:noFill/>
                    <a:ln>
                      <a:noFill/>
                    </a:ln>
                  </pic:spPr>
                </pic:pic>
              </a:graphicData>
            </a:graphic>
          </wp:inline>
        </w:drawing>
      </w:r>
      <w:r>
        <w:drawing>
          <wp:inline distT="0" distB="0" distL="114300" distR="114300">
            <wp:extent cx="5481955" cy="2405380"/>
            <wp:effectExtent l="0" t="0" r="4445" b="13970"/>
            <wp:docPr id="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pic:cNvPicPr>
                      <a:picLocks noChangeAspect="1"/>
                    </pic:cNvPicPr>
                  </pic:nvPicPr>
                  <pic:blipFill>
                    <a:blip r:embed="rId7"/>
                    <a:stretch>
                      <a:fillRect/>
                    </a:stretch>
                  </pic:blipFill>
                  <pic:spPr>
                    <a:xfrm>
                      <a:off x="0" y="0"/>
                      <a:ext cx="5481955" cy="2405380"/>
                    </a:xfrm>
                    <a:prstGeom prst="rect">
                      <a:avLst/>
                    </a:prstGeom>
                    <a:noFill/>
                    <a:ln>
                      <a:noFill/>
                    </a:ln>
                  </pic:spPr>
                </pic:pic>
              </a:graphicData>
            </a:graphic>
          </wp:inline>
        </w:drawing>
      </w:r>
      <w:r>
        <w:drawing>
          <wp:inline distT="0" distB="0" distL="114300" distR="114300">
            <wp:extent cx="5486400" cy="2894330"/>
            <wp:effectExtent l="0" t="0" r="0" b="1270"/>
            <wp:docPr id="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pic:cNvPicPr>
                      <a:picLocks noChangeAspect="1"/>
                    </pic:cNvPicPr>
                  </pic:nvPicPr>
                  <pic:blipFill>
                    <a:blip r:embed="rId8"/>
                    <a:stretch>
                      <a:fillRect/>
                    </a:stretch>
                  </pic:blipFill>
                  <pic:spPr>
                    <a:xfrm>
                      <a:off x="0" y="0"/>
                      <a:ext cx="5486400" cy="2894330"/>
                    </a:xfrm>
                    <a:prstGeom prst="rect">
                      <a:avLst/>
                    </a:prstGeom>
                    <a:noFill/>
                    <a:ln>
                      <a:noFill/>
                    </a:ln>
                  </pic:spPr>
                </pic:pic>
              </a:graphicData>
            </a:graphic>
          </wp:inline>
        </w:drawing>
      </w:r>
      <w:r>
        <w:drawing>
          <wp:inline distT="0" distB="0" distL="114300" distR="114300">
            <wp:extent cx="5482590" cy="6136005"/>
            <wp:effectExtent l="0" t="0" r="3810" b="17145"/>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9"/>
                    <a:stretch>
                      <a:fillRect/>
                    </a:stretch>
                  </pic:blipFill>
                  <pic:spPr>
                    <a:xfrm>
                      <a:off x="0" y="0"/>
                      <a:ext cx="5482590" cy="6136005"/>
                    </a:xfrm>
                    <a:prstGeom prst="rect">
                      <a:avLst/>
                    </a:prstGeom>
                    <a:noFill/>
                    <a:ln>
                      <a:noFill/>
                    </a:ln>
                  </pic:spPr>
                </pic:pic>
              </a:graphicData>
            </a:graphic>
          </wp:inline>
        </w:drawing>
      </w:r>
      <w:r>
        <w:drawing>
          <wp:inline distT="0" distB="0" distL="114300" distR="114300">
            <wp:extent cx="5483860" cy="2601595"/>
            <wp:effectExtent l="0" t="0" r="2540" b="8255"/>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pic:cNvPicPr>
                  </pic:nvPicPr>
                  <pic:blipFill>
                    <a:blip r:embed="rId10"/>
                    <a:stretch>
                      <a:fillRect/>
                    </a:stretch>
                  </pic:blipFill>
                  <pic:spPr>
                    <a:xfrm>
                      <a:off x="0" y="0"/>
                      <a:ext cx="5483860" cy="2601595"/>
                    </a:xfrm>
                    <a:prstGeom prst="rect">
                      <a:avLst/>
                    </a:prstGeom>
                    <a:noFill/>
                    <a:ln>
                      <a:noFill/>
                    </a:ln>
                  </pic:spPr>
                </pic:pic>
              </a:graphicData>
            </a:graphic>
          </wp:inline>
        </w:drawing>
      </w:r>
      <w:r>
        <w:drawing>
          <wp:inline distT="0" distB="0" distL="114300" distR="114300">
            <wp:extent cx="5483860" cy="6326505"/>
            <wp:effectExtent l="0" t="0" r="2540" b="17145"/>
            <wp:docPr id="1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pic:cNvPicPr>
                      <a:picLocks noChangeAspect="1"/>
                    </pic:cNvPicPr>
                  </pic:nvPicPr>
                  <pic:blipFill>
                    <a:blip r:embed="rId11"/>
                    <a:stretch>
                      <a:fillRect/>
                    </a:stretch>
                  </pic:blipFill>
                  <pic:spPr>
                    <a:xfrm>
                      <a:off x="0" y="0"/>
                      <a:ext cx="5483860" cy="6326505"/>
                    </a:xfrm>
                    <a:prstGeom prst="rect">
                      <a:avLst/>
                    </a:prstGeom>
                    <a:noFill/>
                    <a:ln>
                      <a:noFill/>
                    </a:ln>
                  </pic:spPr>
                </pic:pic>
              </a:graphicData>
            </a:graphic>
          </wp:inline>
        </w:drawing>
      </w:r>
      <w:r>
        <w:drawing>
          <wp:inline distT="0" distB="0" distL="114300" distR="114300">
            <wp:extent cx="5481320" cy="3241675"/>
            <wp:effectExtent l="0" t="0" r="5080" b="15875"/>
            <wp:docPr id="1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3"/>
                    <pic:cNvPicPr>
                      <a:picLocks noChangeAspect="1"/>
                    </pic:cNvPicPr>
                  </pic:nvPicPr>
                  <pic:blipFill>
                    <a:blip r:embed="rId12"/>
                    <a:stretch>
                      <a:fillRect/>
                    </a:stretch>
                  </pic:blipFill>
                  <pic:spPr>
                    <a:xfrm>
                      <a:off x="0" y="0"/>
                      <a:ext cx="5481320" cy="3241675"/>
                    </a:xfrm>
                    <a:prstGeom prst="rect">
                      <a:avLst/>
                    </a:prstGeom>
                    <a:noFill/>
                    <a:ln>
                      <a:noFill/>
                    </a:ln>
                  </pic:spPr>
                </pic:pic>
              </a:graphicData>
            </a:graphic>
          </wp:inline>
        </w:drawing>
      </w:r>
      <w:r>
        <w:drawing>
          <wp:inline distT="0" distB="0" distL="114300" distR="114300">
            <wp:extent cx="5481955" cy="2995930"/>
            <wp:effectExtent l="0" t="0" r="4445" b="13970"/>
            <wp:docPr id="1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4"/>
                    <pic:cNvPicPr>
                      <a:picLocks noChangeAspect="1"/>
                    </pic:cNvPicPr>
                  </pic:nvPicPr>
                  <pic:blipFill>
                    <a:blip r:embed="rId13"/>
                    <a:stretch>
                      <a:fillRect/>
                    </a:stretch>
                  </pic:blipFill>
                  <pic:spPr>
                    <a:xfrm>
                      <a:off x="0" y="0"/>
                      <a:ext cx="5481955" cy="2995930"/>
                    </a:xfrm>
                    <a:prstGeom prst="rect">
                      <a:avLst/>
                    </a:prstGeom>
                    <a:noFill/>
                    <a:ln>
                      <a:noFill/>
                    </a:ln>
                  </pic:spPr>
                </pic:pic>
              </a:graphicData>
            </a:graphic>
          </wp:inline>
        </w:drawing>
      </w:r>
      <w:r>
        <w:drawing>
          <wp:inline distT="0" distB="0" distL="114300" distR="114300">
            <wp:extent cx="5485130" cy="2486025"/>
            <wp:effectExtent l="0" t="0" r="1270" b="9525"/>
            <wp:docPr id="1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
                    <pic:cNvPicPr>
                      <a:picLocks noChangeAspect="1"/>
                    </pic:cNvPicPr>
                  </pic:nvPicPr>
                  <pic:blipFill>
                    <a:blip r:embed="rId14"/>
                    <a:stretch>
                      <a:fillRect/>
                    </a:stretch>
                  </pic:blipFill>
                  <pic:spPr>
                    <a:xfrm>
                      <a:off x="0" y="0"/>
                      <a:ext cx="5485130" cy="2486025"/>
                    </a:xfrm>
                    <a:prstGeom prst="rect">
                      <a:avLst/>
                    </a:prstGeom>
                    <a:noFill/>
                    <a:ln>
                      <a:noFill/>
                    </a:ln>
                  </pic:spPr>
                </pic:pic>
              </a:graphicData>
            </a:graphic>
          </wp:inline>
        </w:drawing>
      </w:r>
    </w:p>
    <w:p>
      <w:pPr>
        <w:keepNext/>
        <w:keepLines/>
        <w:pageBreakBefore w:val="0"/>
        <w:widowControl/>
        <w:kinsoku/>
        <w:wordWrap/>
        <w:overflowPunct/>
        <w:topLinePunct w:val="0"/>
        <w:autoSpaceDE/>
        <w:autoSpaceDN/>
        <w:bidi w:val="0"/>
        <w:adjustRightInd/>
        <w:snapToGrid/>
        <w:spacing w:line="240" w:lineRule="auto"/>
        <w:ind w:firstLine="641"/>
        <w:jc w:val="left"/>
        <w:rPr>
          <w:rFonts w:hint="eastAsia" w:ascii="黑体" w:hAnsi="黑体" w:eastAsia="黑体"/>
          <w:b/>
          <w:color w:val="000000"/>
          <w:sz w:val="32"/>
          <w:highlight w:val="white"/>
          <w:lang w:val="zh-CN"/>
        </w:rPr>
      </w:pPr>
    </w:p>
    <w:p>
      <w:pPr>
        <w:keepNext/>
        <w:keepLines/>
        <w:pageBreakBefore w:val="0"/>
        <w:widowControl/>
        <w:kinsoku/>
        <w:wordWrap/>
        <w:overflowPunct/>
        <w:topLinePunct w:val="0"/>
        <w:autoSpaceDE/>
        <w:autoSpaceDN/>
        <w:bidi w:val="0"/>
        <w:adjustRightInd/>
        <w:snapToGrid/>
        <w:spacing w:line="240" w:lineRule="auto"/>
        <w:ind w:firstLine="641"/>
        <w:jc w:val="left"/>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zh-CN"/>
        </w:rPr>
        <w:t>三、</w:t>
      </w:r>
      <w:r>
        <w:rPr>
          <w:rFonts w:hint="eastAsia" w:ascii="黑体" w:hAnsi="黑体" w:eastAsia="黑体"/>
          <w:b/>
          <w:color w:val="000000"/>
          <w:sz w:val="32"/>
          <w:highlight w:val="white"/>
          <w:lang w:val="en-US"/>
        </w:rPr>
        <w:t>2022年度单位决算情况说明</w:t>
      </w:r>
    </w:p>
    <w:p>
      <w:pPr>
        <w:keepNext/>
        <w:keepLines/>
        <w:pageBreakBefore w:val="0"/>
        <w:widowControl/>
        <w:kinsoku/>
        <w:wordWrap/>
        <w:overflowPunct/>
        <w:topLinePunct w:val="0"/>
        <w:autoSpaceDE/>
        <w:autoSpaceDN/>
        <w:bidi w:val="0"/>
        <w:adjustRightInd/>
        <w:snapToGrid/>
        <w:spacing w:line="240" w:lineRule="auto"/>
        <w:ind w:firstLine="641"/>
        <w:jc w:val="left"/>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（一）收入支出决算总体情况说明</w:t>
      </w:r>
    </w:p>
    <w:p>
      <w:pPr>
        <w:spacing w:beforeLines="0" w:afterLines="0" w:line="600" w:lineRule="exact"/>
        <w:ind w:firstLine="640"/>
        <w:rPr>
          <w:rFonts w:hint="eastAsia" w:ascii="仿宋" w:hAnsi="仿宋" w:eastAsia="仿宋"/>
          <w:color w:val="000000"/>
          <w:sz w:val="32"/>
          <w:highlight w:val="white"/>
          <w:lang w:val="en-US" w:eastAsia="zh-CN"/>
        </w:rPr>
      </w:pPr>
      <w:r>
        <w:rPr>
          <w:rFonts w:hint="eastAsia" w:ascii="仿宋" w:hAnsi="仿宋" w:eastAsia="仿宋" w:cs="Times New Roman"/>
          <w:color w:val="000000"/>
          <w:sz w:val="32"/>
          <w:highlight w:val="white"/>
          <w:lang w:val="en-US"/>
        </w:rPr>
        <w:t>2022年度收入总计1,568.85万元，支出总计1,568.85万元,与2021年度相比，各减少</w:t>
      </w:r>
      <w:r>
        <w:rPr>
          <w:rFonts w:hint="eastAsia" w:ascii="仿宋" w:hAnsi="仿宋" w:eastAsia="仿宋" w:cs="Times New Roman"/>
          <w:color w:val="000000"/>
          <w:sz w:val="32"/>
          <w:highlight w:val="white"/>
          <w:lang w:val="en-US" w:eastAsia="zh-CN"/>
        </w:rPr>
        <w:t>86.78</w:t>
      </w:r>
      <w:r>
        <w:rPr>
          <w:rFonts w:hint="eastAsia" w:ascii="仿宋" w:hAnsi="仿宋" w:eastAsia="仿宋" w:cs="Times New Roman"/>
          <w:color w:val="000000"/>
          <w:sz w:val="32"/>
          <w:highlight w:val="white"/>
          <w:lang w:val="en-US"/>
        </w:rPr>
        <w:t>万元，下降</w:t>
      </w:r>
      <w:r>
        <w:rPr>
          <w:rFonts w:hint="eastAsia" w:ascii="仿宋" w:hAnsi="仿宋" w:eastAsia="仿宋" w:cs="Times New Roman"/>
          <w:color w:val="000000"/>
          <w:sz w:val="32"/>
          <w:highlight w:val="white"/>
          <w:lang w:val="en-US" w:eastAsia="zh-CN"/>
        </w:rPr>
        <w:t>5.53</w:t>
      </w:r>
      <w:r>
        <w:rPr>
          <w:rFonts w:hint="eastAsia" w:ascii="仿宋" w:hAnsi="仿宋" w:eastAsia="仿宋" w:cs="Times New Roman"/>
          <w:color w:val="000000"/>
          <w:sz w:val="32"/>
          <w:highlight w:val="white"/>
          <w:lang w:val="en-US"/>
        </w:rPr>
        <w:t>%。</w:t>
      </w:r>
      <w:r>
        <w:rPr>
          <w:rFonts w:hint="eastAsia" w:ascii="仿宋" w:hAnsi="仿宋" w:eastAsia="仿宋" w:cs="Times New Roman"/>
          <w:color w:val="000000"/>
          <w:sz w:val="32"/>
          <w:highlight w:val="none"/>
          <w:lang w:val="en-US"/>
        </w:rPr>
        <w:t>主要原因是：</w:t>
      </w:r>
      <w:r>
        <w:rPr>
          <w:rFonts w:hint="eastAsia" w:ascii="仿宋" w:hAnsi="仿宋" w:eastAsia="仿宋"/>
          <w:color w:val="000000"/>
          <w:sz w:val="32"/>
          <w:highlight w:val="none"/>
          <w:lang w:val="en-US" w:eastAsia="zh-CN"/>
        </w:rPr>
        <w:t>其他工资福利减少</w:t>
      </w:r>
      <w:r>
        <w:rPr>
          <w:rFonts w:hint="eastAsia" w:ascii="仿宋" w:hAnsi="仿宋" w:eastAsia="仿宋" w:cs="Times New Roman"/>
          <w:color w:val="000000"/>
          <w:sz w:val="32"/>
          <w:highlight w:val="none"/>
          <w:lang w:val="en-US"/>
        </w:rPr>
        <w:t>。</w:t>
      </w:r>
    </w:p>
    <w:p>
      <w:pPr>
        <w:pageBreakBefore w:val="0"/>
        <w:widowControl/>
        <w:kinsoku/>
        <w:wordWrap/>
        <w:overflowPunct/>
        <w:topLinePunct w:val="0"/>
        <w:autoSpaceDE/>
        <w:autoSpaceDN/>
        <w:bidi w:val="0"/>
        <w:adjustRightInd/>
        <w:snapToGrid/>
        <w:spacing w:line="240" w:lineRule="auto"/>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1,567.17万元；包括财政拨款收入1,567.17万元（其中，一般公共预算1,535.6万元，政府性基金预算31.57万元,国有资本经营预算0万元），占收入合计100%；上级补助收入0万元，占收入合计0%；事业收入0万元，占收入合计0%；经营收入0万元，占收入合计0%；附属单位上缴收入0万元，占收入合计0%；其他收入0万元，占收入合计0%。</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600" w:lineRule="exact"/>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本年支出合计1,568.85万元，其中基本支出1,404.31万元，占89.51%；项目支出164.55万元，占10.49%；上缴上级支出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2022年度财政拨款收入总计1,567.17万元，支出总计1,567.17万元，与2021年相比，各减少</w:t>
      </w:r>
      <w:r>
        <w:rPr>
          <w:rFonts w:hint="eastAsia" w:ascii="仿宋" w:hAnsi="仿宋" w:eastAsia="仿宋"/>
          <w:color w:val="000000"/>
          <w:sz w:val="32"/>
          <w:highlight w:val="white"/>
          <w:lang w:val="en-US" w:eastAsia="zh-CN"/>
        </w:rPr>
        <w:t>81.29</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5.19</w:t>
      </w:r>
      <w:r>
        <w:rPr>
          <w:rFonts w:hint="eastAsia" w:ascii="仿宋" w:hAnsi="仿宋" w:eastAsia="仿宋"/>
          <w:color w:val="000000"/>
          <w:sz w:val="32"/>
          <w:highlight w:val="white"/>
          <w:lang w:val="en-US"/>
        </w:rPr>
        <w:t>%。</w:t>
      </w:r>
      <w:r>
        <w:rPr>
          <w:rFonts w:hint="eastAsia" w:ascii="仿宋" w:hAnsi="仿宋" w:eastAsia="仿宋" w:cs="Times New Roman"/>
          <w:color w:val="000000"/>
          <w:sz w:val="32"/>
          <w:highlight w:val="none"/>
          <w:lang w:val="en-US"/>
        </w:rPr>
        <w:t>主要原因是：</w:t>
      </w:r>
      <w:r>
        <w:rPr>
          <w:rFonts w:hint="eastAsia" w:ascii="仿宋" w:hAnsi="仿宋" w:eastAsia="仿宋"/>
          <w:color w:val="000000"/>
          <w:sz w:val="32"/>
          <w:highlight w:val="none"/>
          <w:lang w:val="en-US" w:eastAsia="zh-CN"/>
        </w:rPr>
        <w:t>其他工资福利减少</w:t>
      </w:r>
      <w:r>
        <w:rPr>
          <w:rFonts w:hint="eastAsia" w:ascii="仿宋" w:hAnsi="仿宋" w:eastAsia="仿宋" w:cs="Times New Roman"/>
          <w:color w:val="000000"/>
          <w:sz w:val="32"/>
          <w:highlight w:val="none"/>
          <w:lang w:val="en-US"/>
        </w:rPr>
        <w:t>。</w:t>
      </w:r>
      <w:r>
        <w:rPr>
          <w:rFonts w:hint="eastAsia" w:ascii="仿宋" w:hAnsi="仿宋" w:eastAsia="仿宋"/>
          <w:color w:val="000000"/>
          <w:sz w:val="32"/>
          <w:highlight w:val="white"/>
          <w:lang w:val="en-US"/>
        </w:rPr>
        <w:t>财政拨款支出年初预算数</w:t>
      </w:r>
      <w:r>
        <w:rPr>
          <w:rFonts w:hint="eastAsia" w:ascii="仿宋" w:hAnsi="仿宋" w:eastAsia="仿宋"/>
          <w:color w:val="000000"/>
          <w:sz w:val="32"/>
          <w:highlight w:val="white"/>
          <w:lang w:val="en-US" w:eastAsia="zh-CN"/>
        </w:rPr>
        <w:t>1566.89</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100.02</w:t>
      </w:r>
      <w:r>
        <w:rPr>
          <w:rFonts w:hint="eastAsia" w:ascii="仿宋" w:hAnsi="仿宋" w:eastAsia="仿宋"/>
          <w:color w:val="000000"/>
          <w:sz w:val="32"/>
          <w:highlight w:val="white"/>
          <w:lang w:val="en-US"/>
        </w:rPr>
        <w:t>%，主要原因是</w:t>
      </w:r>
      <w:r>
        <w:rPr>
          <w:rFonts w:hint="eastAsia" w:ascii="仿宋" w:hAnsi="仿宋" w:eastAsia="仿宋" w:cs="Times New Roman"/>
          <w:color w:val="000000"/>
          <w:sz w:val="32"/>
          <w:highlight w:val="white"/>
          <w:lang w:val="en-US" w:eastAsia="zh-CN"/>
        </w:rPr>
        <w:t>追加了购置乒乓桌经费</w:t>
      </w:r>
      <w:r>
        <w:rPr>
          <w:rFonts w:hint="eastAsia" w:ascii="仿宋" w:hAnsi="仿宋" w:eastAsia="仿宋"/>
          <w:color w:val="000000"/>
          <w:sz w:val="32"/>
          <w:highlight w:val="white"/>
          <w:lang w:val="en-US"/>
        </w:rPr>
        <w:t>。</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600" w:lineRule="exact"/>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600" w:lineRule="exact"/>
        <w:ind w:firstLine="640"/>
        <w:rPr>
          <w:rFonts w:hint="eastAsia" w:ascii="仿宋" w:hAnsi="仿宋" w:eastAsia="仿宋"/>
          <w:color w:val="000000"/>
          <w:sz w:val="32"/>
          <w:highlight w:val="yellow"/>
          <w:lang w:val="en-US"/>
        </w:rPr>
      </w:pPr>
      <w:r>
        <w:rPr>
          <w:rFonts w:hint="eastAsia" w:ascii="仿宋" w:hAnsi="仿宋" w:eastAsia="仿宋"/>
          <w:color w:val="000000"/>
          <w:sz w:val="32"/>
          <w:highlight w:val="white"/>
          <w:lang w:val="en-US"/>
        </w:rPr>
        <w:t>2022年度一般公共预算财政拨款支出1,535.6万元，占本年支出合计的97.88%。与2021年相比，一般公共预算财政拨款支出减少</w:t>
      </w:r>
      <w:r>
        <w:rPr>
          <w:rFonts w:hint="eastAsia" w:ascii="仿宋" w:hAnsi="仿宋" w:eastAsia="仿宋"/>
          <w:color w:val="000000"/>
          <w:sz w:val="32"/>
          <w:highlight w:val="white"/>
          <w:lang w:val="en-US" w:eastAsia="zh-CN"/>
        </w:rPr>
        <w:t>81.58</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5.31</w:t>
      </w:r>
      <w:r>
        <w:rPr>
          <w:rFonts w:hint="eastAsia" w:ascii="仿宋" w:hAnsi="仿宋" w:eastAsia="仿宋"/>
          <w:color w:val="000000"/>
          <w:sz w:val="32"/>
          <w:highlight w:val="white"/>
          <w:lang w:val="en-US"/>
        </w:rPr>
        <w:t>%。</w:t>
      </w:r>
      <w:r>
        <w:rPr>
          <w:rFonts w:hint="eastAsia" w:ascii="仿宋" w:hAnsi="仿宋" w:eastAsia="仿宋"/>
          <w:color w:val="000000"/>
          <w:sz w:val="32"/>
          <w:highlight w:val="none"/>
          <w:lang w:val="en-US"/>
        </w:rPr>
        <w:t>主要原因是：</w:t>
      </w:r>
      <w:r>
        <w:rPr>
          <w:rFonts w:hint="eastAsia" w:ascii="仿宋" w:hAnsi="仿宋" w:eastAsia="仿宋"/>
          <w:color w:val="000000"/>
          <w:sz w:val="32"/>
          <w:highlight w:val="none"/>
          <w:lang w:val="en-US" w:eastAsia="zh-CN"/>
        </w:rPr>
        <w:t>其他工资福利减少</w:t>
      </w:r>
      <w:r>
        <w:rPr>
          <w:rFonts w:hint="eastAsia" w:ascii="仿宋" w:hAnsi="仿宋" w:eastAsia="仿宋" w:cs="Times New Roman"/>
          <w:color w:val="000000"/>
          <w:sz w:val="32"/>
          <w:highlight w:val="none"/>
          <w:lang w:val="en-US"/>
        </w:rPr>
        <w:t>。</w:t>
      </w:r>
    </w:p>
    <w:p>
      <w:pPr>
        <w:spacing w:beforeLines="0" w:afterLines="0" w:line="600" w:lineRule="exact"/>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2022年度一般公共预算财政拨款支出1,535.6万元，主要用于以下方面：一般公共服务（类）支出</w:t>
      </w:r>
      <w:r>
        <w:rPr>
          <w:rFonts w:hint="eastAsia" w:ascii="仿宋" w:hAnsi="仿宋" w:eastAsia="仿宋"/>
          <w:color w:val="000000"/>
          <w:sz w:val="32"/>
          <w:highlight w:val="white"/>
          <w:lang w:val="zh-CN"/>
        </w:rPr>
        <w:t>1,535.6</w:t>
      </w:r>
      <w:r>
        <w:rPr>
          <w:rFonts w:hint="eastAsia" w:ascii="仿宋" w:hAnsi="仿宋" w:eastAsia="仿宋"/>
          <w:color w:val="000000"/>
          <w:sz w:val="32"/>
          <w:highlight w:val="white"/>
          <w:lang w:val="en-US"/>
        </w:rPr>
        <w:t>万元，占100%；国防（类）支出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万元,占0%；科学技术（类）支出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万元,占0%；卫生健康（类）支出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万元,占0%；节能环保（类）支出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万元,占0%；农林水（类）支出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万元,占0%；交通运输（类）支出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万元,占0%；住房保障（类）支出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万元,占0%；粮油物资储备（类）支出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w:t>
      </w:r>
    </w:p>
    <w:p>
      <w:pPr>
        <w:spacing w:beforeLines="0" w:afterLines="0" w:line="600" w:lineRule="exact"/>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2022年度一般公共预算财政拨款支出年初</w:t>
      </w:r>
      <w:r>
        <w:rPr>
          <w:rFonts w:hint="eastAsia" w:ascii="仿宋" w:hAnsi="仿宋" w:eastAsia="仿宋"/>
          <w:color w:val="000000"/>
          <w:sz w:val="32"/>
          <w:highlight w:val="none"/>
          <w:lang w:val="en-US"/>
        </w:rPr>
        <w:t>预算为</w:t>
      </w:r>
      <w:r>
        <w:rPr>
          <w:rFonts w:hint="eastAsia" w:ascii="仿宋" w:hAnsi="仿宋" w:eastAsia="仿宋"/>
          <w:color w:val="000000"/>
          <w:sz w:val="32"/>
          <w:highlight w:val="none"/>
          <w:lang w:val="en-US" w:eastAsia="zh-CN"/>
        </w:rPr>
        <w:t>1535.6</w:t>
      </w:r>
      <w:r>
        <w:rPr>
          <w:rFonts w:hint="eastAsia" w:ascii="仿宋" w:hAnsi="仿宋" w:eastAsia="仿宋"/>
          <w:color w:val="000000"/>
          <w:sz w:val="32"/>
          <w:highlight w:val="none"/>
          <w:lang w:val="en-US"/>
        </w:rPr>
        <w:t>万</w:t>
      </w:r>
      <w:r>
        <w:rPr>
          <w:rFonts w:hint="eastAsia" w:ascii="仿宋" w:hAnsi="仿宋" w:eastAsia="仿宋"/>
          <w:color w:val="000000"/>
          <w:sz w:val="32"/>
          <w:highlight w:val="white"/>
          <w:lang w:val="en-US"/>
        </w:rPr>
        <w:t>元，支出决算为1,535.6万元,完成年初预算的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%，主要原因是</w:t>
      </w:r>
      <w:r>
        <w:rPr>
          <w:rFonts w:hint="eastAsia" w:ascii="仿宋" w:hAnsi="仿宋" w:eastAsia="仿宋" w:cs="仿宋"/>
          <w:color w:val="auto"/>
          <w:sz w:val="30"/>
          <w:szCs w:val="30"/>
          <w:highlight w:val="white"/>
          <w:lang w:val="en-US" w:eastAsia="zh-CN"/>
        </w:rPr>
        <w:t>严格按照预算执行。</w:t>
      </w:r>
      <w:r>
        <w:rPr>
          <w:rFonts w:hint="eastAsia" w:ascii="仿宋" w:hAnsi="仿宋" w:eastAsia="仿宋"/>
          <w:color w:val="000000"/>
          <w:sz w:val="32"/>
          <w:highlight w:val="white"/>
          <w:lang w:val="en-US"/>
        </w:rPr>
        <w:t>其中：</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一般公共服务支出（类）政府办公厅（室）及相关机构事务（款）机关服务（项）。初</w:t>
      </w:r>
      <w:r>
        <w:rPr>
          <w:rFonts w:hint="eastAsia" w:ascii="仿宋" w:hAnsi="仿宋" w:eastAsia="仿宋"/>
          <w:color w:val="000000"/>
          <w:sz w:val="32"/>
          <w:highlight w:val="none"/>
          <w:lang w:val="en-US"/>
        </w:rPr>
        <w:t>预算为</w:t>
      </w:r>
      <w:r>
        <w:rPr>
          <w:rFonts w:hint="eastAsia" w:ascii="仿宋" w:hAnsi="仿宋" w:eastAsia="仿宋"/>
          <w:color w:val="000000"/>
          <w:sz w:val="32"/>
          <w:highlight w:val="none"/>
          <w:lang w:val="en-US" w:eastAsia="zh-CN"/>
        </w:rPr>
        <w:t>1535.6</w:t>
      </w:r>
      <w:r>
        <w:rPr>
          <w:rFonts w:hint="eastAsia" w:ascii="仿宋" w:hAnsi="仿宋" w:eastAsia="仿宋"/>
          <w:color w:val="000000"/>
          <w:sz w:val="32"/>
          <w:highlight w:val="none"/>
          <w:lang w:val="en-US"/>
        </w:rPr>
        <w:t>万</w:t>
      </w:r>
      <w:r>
        <w:rPr>
          <w:rFonts w:hint="eastAsia" w:ascii="仿宋" w:hAnsi="仿宋" w:eastAsia="仿宋"/>
          <w:color w:val="000000"/>
          <w:sz w:val="32"/>
          <w:highlight w:val="white"/>
          <w:lang w:val="en-US"/>
        </w:rPr>
        <w:t>元，支出决算为1,535.6万元,完成年初预算的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%，主要原因是</w:t>
      </w:r>
      <w:r>
        <w:rPr>
          <w:rFonts w:hint="eastAsia" w:ascii="仿宋" w:hAnsi="仿宋" w:eastAsia="仿宋" w:cs="仿宋"/>
          <w:color w:val="auto"/>
          <w:sz w:val="30"/>
          <w:szCs w:val="30"/>
          <w:highlight w:val="white"/>
          <w:lang w:val="en-US" w:eastAsia="zh-CN"/>
        </w:rPr>
        <w:t>严格按照预算执行。</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2022年度一般公共预算财政拨款基本支出1,402.63万元，其中：</w:t>
      </w:r>
    </w:p>
    <w:p>
      <w:pPr>
        <w:spacing w:beforeLines="0" w:afterLines="0" w:line="324" w:lineRule="auto"/>
        <w:ind w:firstLine="594"/>
        <w:rPr>
          <w:rFonts w:hint="eastAsia" w:ascii="仿宋" w:hAnsi="Times New Roman" w:eastAsia="仿宋"/>
          <w:color w:val="000000"/>
          <w:sz w:val="32"/>
          <w:highlight w:val="white"/>
          <w:lang w:eastAsia="zh-CN"/>
        </w:rPr>
      </w:pPr>
      <w:r>
        <w:rPr>
          <w:rFonts w:hint="eastAsia" w:ascii="仿宋" w:hAnsi="仿宋" w:eastAsia="仿宋"/>
          <w:color w:val="000000"/>
          <w:sz w:val="32"/>
          <w:highlight w:val="white"/>
          <w:lang w:val="en-US"/>
        </w:rPr>
        <w:t>人员经费838.98万元，主要包括：</w:t>
      </w:r>
      <w:r>
        <w:rPr>
          <w:rFonts w:hint="eastAsia" w:ascii="仿宋" w:hAnsi="Times New Roman" w:eastAsia="仿宋"/>
          <w:color w:val="000000"/>
          <w:sz w:val="32"/>
          <w:highlight w:val="white"/>
        </w:rPr>
        <w:t>基本工资、津贴补贴、奖金、社会保障缴费、绩效工资、其他工资福利支出、离休费、生活补助、住房公积金等、其他对个人和家庭的补助支出</w:t>
      </w:r>
      <w:r>
        <w:rPr>
          <w:rFonts w:hint="eastAsia" w:ascii="仿宋" w:hAnsi="Times New Roman" w:eastAsia="仿宋"/>
          <w:color w:val="000000"/>
          <w:sz w:val="32"/>
          <w:highlight w:val="white"/>
          <w:lang w:eastAsia="zh-CN"/>
        </w:rPr>
        <w:t>。</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公用经费563.65万元，</w:t>
      </w:r>
      <w:r>
        <w:rPr>
          <w:rFonts w:hint="eastAsia" w:ascii="仿宋" w:hAnsi="Times New Roman" w:eastAsia="仿宋"/>
          <w:color w:val="000000"/>
          <w:sz w:val="32"/>
          <w:highlight w:val="white"/>
        </w:rPr>
        <w:t>主要包括：办公费、因公出国（境）费用、水费、电费、邮电费、差旅费、培训费、公务接待费、劳务费、维修(护)费、工会经费、福利费、公务用车运行维护费、其他交通费用、其他商品和服务支出。</w:t>
      </w:r>
    </w:p>
    <w:p>
      <w:pPr>
        <w:spacing w:beforeLines="0" w:afterLines="0" w:line="600" w:lineRule="exact"/>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（七）政府性基金预算财政拨款支出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spacing w:beforeLines="0" w:afterLines="0" w:line="600" w:lineRule="exact"/>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1.政府性基金预算财政拨款支出决算总体情况。</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2022年度政府性基金预算财政拨款支出31.57万元，占本年支出合计的2.01%。与2021年相比，政府性基金预算财政拨款支出增加</w:t>
      </w:r>
      <w:r>
        <w:rPr>
          <w:rFonts w:hint="eastAsia" w:ascii="仿宋" w:hAnsi="仿宋" w:eastAsia="仿宋"/>
          <w:color w:val="000000"/>
          <w:sz w:val="32"/>
          <w:highlight w:val="white"/>
          <w:lang w:val="en-US" w:eastAsia="zh-CN"/>
        </w:rPr>
        <w:t>0.29</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0.92</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本年用体育事业的彩票公益金购置张乒乓桌</w:t>
      </w:r>
      <w:r>
        <w:rPr>
          <w:rFonts w:hint="eastAsia" w:ascii="仿宋" w:hAnsi="仿宋" w:eastAsia="仿宋"/>
          <w:color w:val="000000"/>
          <w:sz w:val="32"/>
          <w:highlight w:val="white"/>
          <w:lang w:val="en-US"/>
        </w:rPr>
        <w:t>。</w:t>
      </w:r>
    </w:p>
    <w:p>
      <w:pPr>
        <w:spacing w:beforeLines="0" w:afterLines="0" w:line="600" w:lineRule="exact"/>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2.政府性基金预算财政拨款支出决算结构情况。</w:t>
      </w:r>
    </w:p>
    <w:p>
      <w:pPr>
        <w:spacing w:beforeLines="0" w:afterLines="0" w:line="600" w:lineRule="exact"/>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2022年度政府性基金预算财政拨款支出31.57万元，主要用于以下方面：科学技术（类）支出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万元,占0%；文化旅游体育与传媒（类）支出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万元,占0%；节能环保（类）支出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000000"/>
          <w:sz w:val="32"/>
          <w:highlight w:val="white"/>
          <w:lang w:val="zh-CN"/>
        </w:rPr>
        <w:t>31.28</w:t>
      </w:r>
      <w:r>
        <w:rPr>
          <w:rFonts w:hint="eastAsia" w:ascii="仿宋" w:hAnsi="仿宋" w:eastAsia="仿宋"/>
          <w:color w:val="000000"/>
          <w:sz w:val="32"/>
          <w:highlight w:val="white"/>
          <w:lang w:val="en-US"/>
        </w:rPr>
        <w:t>万元,占99.1%；农林水（类）支出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万元,占0%；交通运输（类）支出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万元,占0%；资源勘探信息等（类）支出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万元,占0%；其他（类）支出</w:t>
      </w:r>
      <w:r>
        <w:rPr>
          <w:rFonts w:hint="eastAsia" w:ascii="仿宋" w:hAnsi="仿宋" w:eastAsia="仿宋"/>
          <w:color w:val="000000"/>
          <w:sz w:val="32"/>
          <w:highlight w:val="white"/>
          <w:lang w:val="zh-CN"/>
        </w:rPr>
        <w:t>0.29</w:t>
      </w:r>
      <w:r>
        <w:rPr>
          <w:rFonts w:hint="eastAsia" w:ascii="仿宋" w:hAnsi="仿宋" w:eastAsia="仿宋"/>
          <w:color w:val="000000"/>
          <w:sz w:val="32"/>
          <w:highlight w:val="white"/>
          <w:lang w:val="en-US"/>
        </w:rPr>
        <w:t>万元,占0.9%；债务付息（类）支出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万元,占0%；抗疫特别国债安排（类）支出</w:t>
      </w:r>
      <w:r>
        <w:rPr>
          <w:rFonts w:hint="eastAsia" w:ascii="仿宋" w:hAnsi="仿宋" w:eastAsia="仿宋"/>
          <w:color w:val="000000"/>
          <w:sz w:val="32"/>
          <w:highlight w:val="white"/>
          <w:lang w:val="zh-CN"/>
        </w:rPr>
        <w:t>0</w:t>
      </w:r>
      <w:r>
        <w:rPr>
          <w:rFonts w:hint="eastAsia" w:ascii="仿宋" w:hAnsi="仿宋" w:eastAsia="仿宋"/>
          <w:color w:val="000000"/>
          <w:sz w:val="32"/>
          <w:highlight w:val="white"/>
          <w:lang w:val="en-US"/>
        </w:rPr>
        <w:t>万元,占0%。</w:t>
      </w:r>
    </w:p>
    <w:p>
      <w:pPr>
        <w:spacing w:beforeLines="0" w:afterLines="0" w:line="600" w:lineRule="exact"/>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3.政府性基金预算财政拨款支出决算具体情况。</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2022年度政府性基金预算财政拨款支出年初预算为</w:t>
      </w:r>
      <w:r>
        <w:rPr>
          <w:rFonts w:hint="eastAsia" w:ascii="仿宋" w:hAnsi="仿宋" w:eastAsia="仿宋"/>
          <w:color w:val="000000"/>
          <w:sz w:val="32"/>
          <w:highlight w:val="white"/>
          <w:lang w:val="en-US" w:eastAsia="zh-CN"/>
        </w:rPr>
        <w:t>31.28</w:t>
      </w:r>
      <w:r>
        <w:rPr>
          <w:rFonts w:hint="eastAsia" w:ascii="仿宋" w:hAnsi="仿宋" w:eastAsia="仿宋"/>
          <w:color w:val="000000"/>
          <w:sz w:val="32"/>
          <w:highlight w:val="white"/>
          <w:lang w:val="en-US"/>
        </w:rPr>
        <w:t>万元，支出决算为31.57万元,完成年初预算的</w:t>
      </w:r>
      <w:r>
        <w:rPr>
          <w:rFonts w:hint="eastAsia" w:ascii="仿宋" w:hAnsi="仿宋" w:eastAsia="仿宋"/>
          <w:color w:val="000000"/>
          <w:sz w:val="32"/>
          <w:highlight w:val="white"/>
          <w:lang w:val="en-US" w:eastAsia="zh-CN"/>
        </w:rPr>
        <w:t>100.93</w:t>
      </w:r>
      <w:r>
        <w:rPr>
          <w:rFonts w:hint="eastAsia" w:ascii="仿宋" w:hAnsi="仿宋" w:eastAsia="仿宋"/>
          <w:color w:val="000000"/>
          <w:sz w:val="32"/>
          <w:highlight w:val="white"/>
          <w:lang w:val="en-US"/>
        </w:rPr>
        <w:t>%，主要原因是</w:t>
      </w:r>
      <w:r>
        <w:rPr>
          <w:rFonts w:hint="eastAsia" w:ascii="仿宋" w:hAnsi="仿宋" w:eastAsia="仿宋" w:cs="Times New Roman"/>
          <w:color w:val="000000"/>
          <w:sz w:val="32"/>
          <w:highlight w:val="white"/>
          <w:lang w:val="en-US" w:eastAsia="zh-CN"/>
        </w:rPr>
        <w:t>追加了购置乒乓桌经费</w:t>
      </w:r>
      <w:r>
        <w:rPr>
          <w:rFonts w:hint="eastAsia" w:ascii="仿宋" w:hAnsi="仿宋" w:eastAsia="仿宋"/>
          <w:color w:val="000000"/>
          <w:sz w:val="32"/>
          <w:highlight w:val="white"/>
          <w:lang w:val="en-US"/>
        </w:rPr>
        <w:t>。其中：</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城乡社区支出（类）国有土地收益基金安排的支出（款）其他国有土地收益基金支出（项）。年初预算为</w:t>
      </w:r>
      <w:r>
        <w:rPr>
          <w:rFonts w:hint="eastAsia" w:ascii="仿宋" w:hAnsi="仿宋" w:eastAsia="仿宋"/>
          <w:color w:val="000000"/>
          <w:sz w:val="32"/>
          <w:highlight w:val="white"/>
          <w:lang w:val="en-US" w:eastAsia="zh-CN"/>
        </w:rPr>
        <w:t>31.28</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31.28</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cs="仿宋"/>
          <w:color w:val="auto"/>
          <w:sz w:val="30"/>
          <w:szCs w:val="30"/>
          <w:highlight w:val="white"/>
          <w:lang w:val="en-US" w:eastAsia="zh-CN"/>
        </w:rPr>
        <w:t>决算数等于预算数，原因是严格按照预算执行。</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其他支出（类）彩票公益金安排的支出（款）用于体育事业的彩票公益金支出（项）。年初预算为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0.29</w:t>
      </w:r>
      <w:r>
        <w:rPr>
          <w:rFonts w:hint="eastAsia" w:ascii="仿宋" w:hAnsi="仿宋" w:eastAsia="仿宋"/>
          <w:color w:val="000000"/>
          <w:sz w:val="32"/>
          <w:highlight w:val="white"/>
          <w:lang w:val="en-US"/>
        </w:rPr>
        <w:t>万元。</w:t>
      </w:r>
      <w:r>
        <w:rPr>
          <w:rFonts w:hint="eastAsia" w:ascii="仿宋" w:hAnsi="仿宋" w:eastAsia="仿宋" w:cs="Times New Roman"/>
          <w:color w:val="000000"/>
          <w:sz w:val="32"/>
          <w:highlight w:val="white"/>
          <w:lang w:val="en-US" w:eastAsia="zh-CN"/>
        </w:rPr>
        <w:t>决算数大于预算数，原因是追加了购置乒乓桌经费。</w:t>
      </w:r>
    </w:p>
    <w:p>
      <w:pPr>
        <w:numPr>
          <w:ilvl w:val="0"/>
          <w:numId w:val="1"/>
        </w:numPr>
        <w:spacing w:beforeLines="0" w:afterLines="0" w:line="600" w:lineRule="exact"/>
        <w:ind w:left="319" w:leftChars="152" w:firstLine="655" w:firstLineChars="204"/>
        <w:rPr>
          <w:rFonts w:hint="eastAsia" w:ascii="楷体" w:hAnsi="楷体" w:eastAsia="楷体"/>
          <w:b/>
          <w:color w:val="000000"/>
          <w:sz w:val="32"/>
          <w:highlight w:val="white"/>
          <w:lang w:val="en-US" w:eastAsia="zh-CN"/>
        </w:rPr>
      </w:pPr>
      <w:r>
        <w:rPr>
          <w:rFonts w:hint="eastAsia" w:ascii="楷体" w:hAnsi="楷体" w:eastAsia="楷体"/>
          <w:b/>
          <w:color w:val="000000"/>
          <w:sz w:val="32"/>
          <w:highlight w:val="white"/>
          <w:lang w:val="en-US"/>
        </w:rPr>
        <w:t>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r>
        <w:rPr>
          <w:rFonts w:hint="eastAsia" w:ascii="楷体" w:hAnsi="楷体" w:eastAsia="楷体"/>
          <w:b/>
          <w:color w:val="000000"/>
          <w:sz w:val="32"/>
          <w:highlight w:val="white"/>
          <w:lang w:val="en-US" w:eastAsia="zh-CN"/>
        </w:rPr>
        <w:t xml:space="preserve"> </w:t>
      </w:r>
    </w:p>
    <w:p>
      <w:pPr>
        <w:spacing w:beforeLines="0" w:afterLines="0" w:line="600" w:lineRule="exact"/>
        <w:ind w:firstLine="640"/>
        <w:rPr>
          <w:rFonts w:hint="eastAsia" w:ascii="仿宋" w:hAnsi="仿宋" w:eastAsia="仿宋" w:cs="Times New Roman"/>
          <w:color w:val="000000"/>
          <w:sz w:val="32"/>
          <w:highlight w:val="white"/>
          <w:lang w:val="en-US"/>
        </w:rPr>
      </w:pPr>
      <w:r>
        <w:rPr>
          <w:rFonts w:hint="eastAsia" w:ascii="仿宋" w:hAnsi="仿宋" w:eastAsia="仿宋" w:cs="Times New Roman"/>
          <w:color w:val="000000"/>
          <w:sz w:val="32"/>
          <w:highlight w:val="white"/>
          <w:lang w:val="en-US"/>
        </w:rPr>
        <w:t>本单位2022年度无国有资本经营预算财政拨款收支安排，故无相关数据</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（九）财政拨款</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三公</w:t>
      </w:r>
      <w:r>
        <w:rPr>
          <w:rFonts w:hint="default" w:ascii="楷体" w:hAnsi="楷体" w:eastAsia="楷体"/>
          <w:b/>
          <w:color w:val="000000"/>
          <w:sz w:val="32"/>
          <w:highlight w:val="white"/>
          <w:lang w:val="en-US"/>
        </w:rPr>
        <w:t>”</w:t>
      </w:r>
      <w:r>
        <w:rPr>
          <w:rFonts w:hint="eastAsia" w:ascii="楷体" w:hAnsi="楷体" w:eastAsia="楷体"/>
          <w:b/>
          <w:color w:val="000000"/>
          <w:sz w:val="32"/>
          <w:highlight w:val="white"/>
          <w:lang w:val="en-US"/>
        </w:rPr>
        <w:t>经费支出决算情况说明</w:t>
      </w:r>
    </w:p>
    <w:p>
      <w:pPr>
        <w:spacing w:beforeLines="0" w:afterLines="0" w:line="600" w:lineRule="exact"/>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1.</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 xml:space="preserve">经费财政拨款支出决算总体情况说明。 </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经费财政拨款支出全年预算为413.7万元，支出决算为413.7万元，完成全年预算的100%,2022年度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经费支出</w:t>
      </w:r>
      <w:r>
        <w:rPr>
          <w:rFonts w:hint="eastAsia" w:ascii="仿宋" w:hAnsi="仿宋" w:eastAsia="仿宋" w:cs="仿宋"/>
          <w:color w:val="auto"/>
          <w:sz w:val="30"/>
          <w:szCs w:val="30"/>
          <w:highlight w:val="white"/>
          <w:lang w:val="en-US" w:eastAsia="zh-CN"/>
        </w:rPr>
        <w:t>决算数等于预算数，原因是严格按照预算执行。</w:t>
      </w:r>
    </w:p>
    <w:p>
      <w:pPr>
        <w:spacing w:beforeLines="0" w:afterLines="0" w:line="600" w:lineRule="exact"/>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三公</w:t>
      </w:r>
      <w:r>
        <w:rPr>
          <w:rFonts w:hint="default" w:ascii="仿宋" w:hAnsi="仿宋" w:eastAsia="仿宋"/>
          <w:b/>
          <w:color w:val="000000"/>
          <w:sz w:val="32"/>
          <w:highlight w:val="white"/>
          <w:lang w:val="en-US"/>
        </w:rPr>
        <w:t>”</w:t>
      </w:r>
      <w:r>
        <w:rPr>
          <w:rFonts w:hint="eastAsia" w:ascii="仿宋" w:hAnsi="仿宋" w:eastAsia="仿宋"/>
          <w:b/>
          <w:color w:val="000000"/>
          <w:sz w:val="32"/>
          <w:highlight w:val="white"/>
          <w:lang w:val="en-US"/>
        </w:rPr>
        <w:t>经费财政拨款支出决算具体情况说明。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经费财政拨款支出决算中，因公出国（境）费用支出决算为0万元，占0%，与2021年度相比，增加（或减少）</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万元，增长（或下降）</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%；公务用车购置及运行维护费支出决算为413.36万元，占99.92%，与2021年度相比，增加</w:t>
      </w:r>
      <w:r>
        <w:rPr>
          <w:rFonts w:hint="eastAsia" w:ascii="仿宋" w:hAnsi="仿宋" w:eastAsia="仿宋"/>
          <w:color w:val="000000"/>
          <w:sz w:val="32"/>
          <w:highlight w:val="white"/>
          <w:lang w:val="en-US" w:eastAsia="zh-CN"/>
        </w:rPr>
        <w:t>65.16</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15.76</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比上年多购置4辆车</w:t>
      </w:r>
      <w:r>
        <w:rPr>
          <w:rFonts w:hint="eastAsia" w:ascii="仿宋" w:hAnsi="仿宋" w:eastAsia="仿宋"/>
          <w:color w:val="000000"/>
          <w:sz w:val="32"/>
          <w:highlight w:val="white"/>
          <w:lang w:val="en-US"/>
        </w:rPr>
        <w:t>；公务接待费支出决算为0.33万元，占0.08%，与2021年度相比，减少</w:t>
      </w:r>
      <w:r>
        <w:rPr>
          <w:rFonts w:hint="eastAsia" w:ascii="仿宋" w:hAnsi="仿宋" w:eastAsia="仿宋"/>
          <w:color w:val="000000"/>
          <w:sz w:val="32"/>
          <w:highlight w:val="white"/>
          <w:lang w:val="en-US" w:eastAsia="zh-CN"/>
        </w:rPr>
        <w:t>0.15</w:t>
      </w:r>
      <w:r>
        <w:rPr>
          <w:rFonts w:hint="eastAsia" w:ascii="仿宋" w:hAnsi="仿宋" w:eastAsia="仿宋"/>
          <w:color w:val="000000"/>
          <w:sz w:val="32"/>
          <w:highlight w:val="white"/>
          <w:lang w:val="en-US"/>
        </w:rPr>
        <w:t>万元，下降</w:t>
      </w:r>
      <w:r>
        <w:rPr>
          <w:rFonts w:hint="eastAsia" w:ascii="仿宋" w:hAnsi="仿宋" w:eastAsia="仿宋"/>
          <w:color w:val="000000"/>
          <w:sz w:val="32"/>
          <w:highlight w:val="white"/>
          <w:lang w:val="en-US" w:eastAsia="zh-CN"/>
        </w:rPr>
        <w:t>45.45</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减少了公务活动</w:t>
      </w:r>
      <w:r>
        <w:rPr>
          <w:rFonts w:hint="eastAsia" w:ascii="仿宋" w:hAnsi="仿宋" w:eastAsia="仿宋"/>
          <w:color w:val="000000"/>
          <w:sz w:val="32"/>
          <w:highlight w:val="white"/>
          <w:lang w:val="en-US"/>
        </w:rPr>
        <w:t>。具体情况如下：</w:t>
      </w:r>
    </w:p>
    <w:p>
      <w:pPr>
        <w:spacing w:beforeLines="0" w:afterLines="0" w:line="600" w:lineRule="exact"/>
        <w:ind w:firstLine="641"/>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（1）因公出国（境）费用</w:t>
      </w:r>
      <w:r>
        <w:rPr>
          <w:rFonts w:hint="eastAsia" w:ascii="仿宋" w:hAnsi="仿宋" w:eastAsia="仿宋"/>
          <w:color w:val="000000"/>
          <w:sz w:val="32"/>
          <w:highlight w:val="white"/>
          <w:lang w:val="en-US"/>
        </w:rPr>
        <w:t>全年预算数为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万元。完成全年预算的</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%。主要用于机关及下属预算单位人员的公务出国（境）的住宿费、国际旅费、培训费、公杂费等支出。全年使用财政拨款支出涉及因公出国(境)团组0个；累计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（2）公务用车购置及运行维护费</w:t>
      </w:r>
      <w:r>
        <w:rPr>
          <w:rFonts w:hint="eastAsia" w:ascii="仿宋" w:hAnsi="仿宋" w:eastAsia="仿宋"/>
          <w:color w:val="000000"/>
          <w:sz w:val="32"/>
          <w:highlight w:val="white"/>
          <w:lang w:val="en-US"/>
        </w:rPr>
        <w:t>全年预算数为413.36万元，支出决算为413.36万元，完成全年预算的100%。</w:t>
      </w:r>
      <w:r>
        <w:rPr>
          <w:rFonts w:hint="eastAsia" w:ascii="仿宋" w:hAnsi="仿宋" w:eastAsia="仿宋" w:cs="仿宋"/>
          <w:color w:val="auto"/>
          <w:sz w:val="30"/>
          <w:szCs w:val="30"/>
          <w:highlight w:val="white"/>
          <w:lang w:val="en-US" w:eastAsia="zh-CN"/>
        </w:rPr>
        <w:t>决算数等于预算数，原因是严格按照预算执行。</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公务用车购置</w:t>
      </w:r>
      <w:r>
        <w:rPr>
          <w:rFonts w:hint="eastAsia" w:ascii="仿宋" w:hAnsi="仿宋" w:eastAsia="仿宋"/>
          <w:color w:val="000000"/>
          <w:sz w:val="32"/>
          <w:highlight w:val="white"/>
          <w:lang w:val="en-US"/>
        </w:rPr>
        <w:t>全年预算数为</w:t>
      </w:r>
      <w:r>
        <w:rPr>
          <w:rFonts w:hint="eastAsia" w:ascii="仿宋" w:hAnsi="仿宋" w:eastAsia="仿宋"/>
          <w:color w:val="auto"/>
          <w:sz w:val="30"/>
          <w:highlight w:val="white"/>
          <w:lang w:val="zh-CN"/>
        </w:rPr>
        <w:t>131.33</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131.33</w:t>
      </w:r>
      <w:r>
        <w:rPr>
          <w:rFonts w:hint="eastAsia" w:ascii="仿宋" w:hAnsi="仿宋" w:eastAsia="仿宋"/>
          <w:color w:val="000000"/>
          <w:sz w:val="32"/>
          <w:highlight w:val="white"/>
          <w:lang w:val="en-US"/>
        </w:rPr>
        <w:t>万元（含购置税等附加费用），完成全年预算的</w:t>
      </w:r>
      <w:r>
        <w:rPr>
          <w:rFonts w:hint="eastAsia" w:ascii="仿宋" w:hAnsi="仿宋" w:eastAsia="仿宋"/>
          <w:color w:val="auto"/>
          <w:sz w:val="30"/>
          <w:highlight w:val="white"/>
          <w:lang w:val="zh-CN"/>
        </w:rPr>
        <w:t>100</w:t>
      </w:r>
      <w:r>
        <w:rPr>
          <w:rFonts w:hint="eastAsia" w:ascii="仿宋" w:hAnsi="仿宋" w:eastAsia="仿宋"/>
          <w:color w:val="000000"/>
          <w:sz w:val="32"/>
          <w:highlight w:val="white"/>
          <w:lang w:val="en-US"/>
        </w:rPr>
        <w:t>%。</w:t>
      </w:r>
      <w:r>
        <w:rPr>
          <w:rFonts w:hint="eastAsia" w:ascii="仿宋" w:hAnsi="仿宋" w:eastAsia="仿宋" w:cs="仿宋"/>
          <w:color w:val="auto"/>
          <w:sz w:val="30"/>
          <w:szCs w:val="30"/>
          <w:highlight w:val="white"/>
          <w:lang w:val="en-US" w:eastAsia="zh-CN"/>
        </w:rPr>
        <w:t>决算数等于预算数，原因是严格按照预算执行。</w:t>
      </w:r>
      <w:r>
        <w:rPr>
          <w:rFonts w:hint="eastAsia" w:ascii="仿宋" w:hAnsi="仿宋" w:eastAsia="仿宋"/>
          <w:color w:val="000000"/>
          <w:sz w:val="32"/>
          <w:highlight w:val="white"/>
          <w:lang w:val="en-US"/>
        </w:rPr>
        <w:t>主要用于经批准购置的</w:t>
      </w:r>
      <w:r>
        <w:rPr>
          <w:rFonts w:hint="eastAsia" w:ascii="仿宋" w:hAnsi="仿宋" w:eastAsia="仿宋"/>
          <w:color w:val="auto"/>
          <w:sz w:val="30"/>
          <w:highlight w:val="white"/>
          <w:lang w:val="en-US" w:eastAsia="zh-CN"/>
        </w:rPr>
        <w:t>7</w:t>
      </w:r>
      <w:r>
        <w:rPr>
          <w:rFonts w:hint="eastAsia" w:ascii="仿宋" w:hAnsi="仿宋" w:eastAsia="仿宋"/>
          <w:color w:val="000000"/>
          <w:sz w:val="32"/>
          <w:highlight w:val="white"/>
          <w:lang w:val="en-US"/>
        </w:rPr>
        <w:t>辆公务用车；</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公务用车运行维护费</w:t>
      </w:r>
      <w:r>
        <w:rPr>
          <w:rFonts w:hint="eastAsia" w:ascii="仿宋" w:hAnsi="仿宋" w:eastAsia="仿宋"/>
          <w:color w:val="000000"/>
          <w:sz w:val="32"/>
          <w:highlight w:val="white"/>
          <w:lang w:val="en-US"/>
        </w:rPr>
        <w:t>全年预算数为</w:t>
      </w:r>
      <w:r>
        <w:rPr>
          <w:rFonts w:hint="eastAsia" w:ascii="仿宋" w:hAnsi="仿宋" w:eastAsia="仿宋"/>
          <w:color w:val="auto"/>
          <w:sz w:val="30"/>
          <w:highlight w:val="white"/>
          <w:lang w:val="zh-CN"/>
        </w:rPr>
        <w:t>282.04</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282.04</w:t>
      </w:r>
      <w:r>
        <w:rPr>
          <w:rFonts w:hint="eastAsia" w:ascii="仿宋" w:hAnsi="仿宋" w:eastAsia="仿宋"/>
          <w:color w:val="000000"/>
          <w:sz w:val="32"/>
          <w:highlight w:val="white"/>
          <w:lang w:val="en-US"/>
        </w:rPr>
        <w:t>万元，完成全年预算的</w:t>
      </w:r>
      <w:r>
        <w:rPr>
          <w:rFonts w:hint="eastAsia" w:ascii="仿宋" w:hAnsi="仿宋" w:eastAsia="仿宋"/>
          <w:color w:val="auto"/>
          <w:sz w:val="30"/>
          <w:highlight w:val="white"/>
          <w:lang w:val="zh-CN"/>
        </w:rPr>
        <w:t>100</w:t>
      </w:r>
      <w:r>
        <w:rPr>
          <w:rFonts w:hint="eastAsia" w:ascii="仿宋" w:hAnsi="仿宋" w:eastAsia="仿宋"/>
          <w:color w:val="000000"/>
          <w:sz w:val="32"/>
          <w:highlight w:val="white"/>
          <w:lang w:val="en-US"/>
        </w:rPr>
        <w:t>%。</w:t>
      </w:r>
      <w:r>
        <w:rPr>
          <w:rFonts w:hint="eastAsia" w:ascii="仿宋" w:hAnsi="仿宋" w:eastAsia="仿宋" w:cs="仿宋"/>
          <w:color w:val="auto"/>
          <w:sz w:val="30"/>
          <w:szCs w:val="30"/>
          <w:highlight w:val="white"/>
          <w:lang w:val="en-US" w:eastAsia="zh-CN"/>
        </w:rPr>
        <w:t>决算数等于预算数，原因是严格按照预算执行。</w:t>
      </w:r>
      <w:r>
        <w:rPr>
          <w:rFonts w:hint="eastAsia" w:ascii="仿宋" w:hAnsi="仿宋" w:eastAsia="仿宋"/>
          <w:color w:val="000000"/>
          <w:sz w:val="32"/>
          <w:highlight w:val="white"/>
          <w:lang w:val="en-US"/>
        </w:rPr>
        <w:t>主要用于公务活动及处理应急事件等所需的公务用车燃料费、维修费、过路过桥费、保险费等支出；截至2022年12月31日，财政拨款开支的公务用车保有量为71辆。</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全年预算数为0.33万元，支出决算为0.33万元，完成全年预算的100%。国内公务接待4批次，累计40人次。主要用于接待</w:t>
      </w:r>
      <w:r>
        <w:rPr>
          <w:rFonts w:hint="eastAsia" w:ascii="仿宋_GB2312" w:eastAsia="仿宋_GB2312"/>
          <w:sz w:val="32"/>
        </w:rPr>
        <w:t>上级部门、其他县市相关单位等</w:t>
      </w:r>
      <w:r>
        <w:rPr>
          <w:rFonts w:hint="eastAsia" w:ascii="仿宋_GB2312" w:hAnsi="Times New Roman" w:eastAsia="仿宋_GB2312"/>
          <w:sz w:val="32"/>
        </w:rPr>
        <w:t>支出</w:t>
      </w:r>
      <w:r>
        <w:rPr>
          <w:rFonts w:hint="eastAsia" w:ascii="仿宋" w:hAnsi="仿宋" w:eastAsia="仿宋"/>
          <w:color w:val="000000"/>
          <w:sz w:val="32"/>
          <w:highlight w:val="white"/>
          <w:lang w:val="en-US"/>
        </w:rPr>
        <w:t>等支出。</w:t>
      </w:r>
      <w:r>
        <w:rPr>
          <w:rFonts w:hint="eastAsia" w:ascii="仿宋" w:hAnsi="仿宋" w:eastAsia="仿宋" w:cs="仿宋"/>
          <w:color w:val="auto"/>
          <w:sz w:val="30"/>
          <w:szCs w:val="30"/>
          <w:highlight w:val="white"/>
          <w:lang w:val="en-US" w:eastAsia="zh-CN"/>
        </w:rPr>
        <w:t>决算数等于预算数，原因是严格按照预算执行。</w:t>
      </w:r>
      <w:r>
        <w:rPr>
          <w:rFonts w:hint="eastAsia" w:ascii="仿宋" w:hAnsi="仿宋" w:eastAsia="仿宋"/>
          <w:color w:val="000000"/>
          <w:sz w:val="32"/>
          <w:highlight w:val="white"/>
          <w:lang w:val="en-US"/>
        </w:rPr>
        <w:t>其中：</w:t>
      </w:r>
    </w:p>
    <w:p>
      <w:pPr>
        <w:spacing w:beforeLines="0" w:afterLines="0" w:line="600" w:lineRule="exact"/>
        <w:ind w:firstLine="641"/>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外事接待</w:t>
      </w:r>
      <w:r>
        <w:rPr>
          <w:rFonts w:hint="eastAsia" w:ascii="仿宋" w:hAnsi="仿宋" w:eastAsia="仿宋"/>
          <w:color w:val="000000"/>
          <w:sz w:val="32"/>
          <w:highlight w:val="white"/>
          <w:lang w:val="en-US"/>
        </w:rPr>
        <w:t>支出0万元，接待0批次，累计0人次。</w:t>
      </w:r>
    </w:p>
    <w:p>
      <w:pPr>
        <w:spacing w:beforeLines="0" w:afterLines="0" w:line="600" w:lineRule="exact"/>
        <w:ind w:firstLine="641"/>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支出0.33万元，主要用于</w:t>
      </w:r>
      <w:r>
        <w:rPr>
          <w:rFonts w:hint="eastAsia" w:ascii="仿宋_GB2312" w:eastAsia="仿宋_GB2312"/>
          <w:sz w:val="32"/>
        </w:rPr>
        <w:t>上级部门、其他县市相关单位</w:t>
      </w:r>
      <w:r>
        <w:rPr>
          <w:rFonts w:hint="eastAsia" w:ascii="仿宋_GB2312" w:eastAsia="仿宋_GB2312"/>
          <w:sz w:val="32"/>
          <w:lang w:eastAsia="zh-CN"/>
        </w:rPr>
        <w:t>等</w:t>
      </w:r>
      <w:r>
        <w:rPr>
          <w:rFonts w:hint="eastAsia" w:ascii="仿宋" w:hAnsi="仿宋" w:eastAsia="仿宋"/>
          <w:color w:val="000000"/>
          <w:sz w:val="32"/>
          <w:highlight w:val="white"/>
          <w:lang w:val="en-US"/>
        </w:rPr>
        <w:t>接待4批次，累计40人次。</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2022年度机关运行经费年初预算数为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度政府采购支出总额157.06万元，其中：政府采购货物支出73.47万元、政府采购工程支出0万元、政府采购服务支出83.59万元。授予中小企业合同金额157.06万元，占政府采购支出总额的100%。其中，授予小微企业合同金额49.71万元，占授予中小企业合同金额的31.65%；货物采购授予中小企业合同金额占货物支出金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%，工程采购授予中小企业合同金额占工程支出金额的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%，服务采购授予中小企业合同金额占服务支出金额的</w:t>
      </w:r>
      <w:r>
        <w:rPr>
          <w:rFonts w:hint="eastAsia" w:ascii="仿宋" w:hAnsi="仿宋" w:eastAsia="仿宋"/>
          <w:color w:val="000000"/>
          <w:sz w:val="32"/>
          <w:highlight w:val="white"/>
          <w:lang w:val="en-US" w:eastAsia="zh-CN"/>
        </w:rPr>
        <w:t>39.58</w:t>
      </w:r>
      <w:r>
        <w:rPr>
          <w:rFonts w:hint="eastAsia" w:ascii="仿宋" w:hAnsi="仿宋" w:eastAsia="仿宋"/>
          <w:color w:val="000000"/>
          <w:sz w:val="32"/>
          <w:highlight w:val="white"/>
          <w:lang w:val="en-US"/>
        </w:rPr>
        <w:t>%。</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（十二）国有资产占有使用情况说明</w:t>
      </w:r>
    </w:p>
    <w:p>
      <w:pPr>
        <w:spacing w:beforeLines="0" w:afterLines="0" w:line="600" w:lineRule="exact"/>
        <w:ind w:firstLine="594"/>
        <w:rPr>
          <w:rFonts w:hint="eastAsia" w:ascii="楷体" w:hAnsi="楷体" w:eastAsia="楷体"/>
          <w:b/>
          <w:color w:val="000000"/>
          <w:sz w:val="32"/>
          <w:highlight w:val="white"/>
          <w:lang w:val="en-US"/>
        </w:rPr>
      </w:pPr>
      <w:r>
        <w:rPr>
          <w:rFonts w:hint="eastAsia" w:ascii="仿宋" w:hAnsi="仿宋" w:eastAsia="仿宋"/>
          <w:color w:val="000000"/>
          <w:sz w:val="32"/>
          <w:highlight w:val="white"/>
          <w:lang w:val="en-US"/>
        </w:rPr>
        <w:t>截至2022年12月31日，</w:t>
      </w:r>
      <w:r>
        <w:rPr>
          <w:rFonts w:hint="eastAsia" w:ascii="仿宋" w:hAnsi="仿宋" w:eastAsia="仿宋"/>
          <w:color w:val="000000"/>
          <w:sz w:val="32"/>
          <w:highlight w:val="white"/>
          <w:lang w:val="en-US" w:eastAsia="zh-CN"/>
        </w:rPr>
        <w:t>遂昌县公务用车服务中心</w:t>
      </w:r>
      <w:r>
        <w:rPr>
          <w:rFonts w:hint="eastAsia" w:ascii="仿宋" w:hAnsi="仿宋" w:eastAsia="仿宋"/>
          <w:color w:val="000000"/>
          <w:sz w:val="32"/>
          <w:highlight w:val="white"/>
          <w:lang w:val="en-US"/>
        </w:rPr>
        <w:t xml:space="preserve">共有车辆71辆，其中，副部（省）级及以上领导用车0辆、主要领导干部用车0辆、机要通信用车0辆、应急保障用车71辆、执法执勤用车0辆、特种专业技术用车0辆、离退休干部用车0辆、其他用车0辆；单价100万元以上设备（不含车辆）0台（套）。 </w:t>
      </w:r>
    </w:p>
    <w:p>
      <w:pPr>
        <w:spacing w:beforeLines="0" w:afterLines="0" w:line="600" w:lineRule="exact"/>
        <w:ind w:firstLine="641"/>
        <w:jc w:val="left"/>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beforeLines="0" w:afterLines="0" w:line="600" w:lineRule="exact"/>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1.预算绩效管理工作开展情况。</w:t>
      </w:r>
    </w:p>
    <w:p>
      <w:pPr>
        <w:spacing w:beforeLines="0" w:afterLines="0" w:line="600" w:lineRule="exact"/>
        <w:ind w:firstLine="640"/>
        <w:rPr>
          <w:rFonts w:hint="eastAsia" w:ascii="仿宋" w:hAnsi="仿宋" w:eastAsia="仿宋"/>
          <w:b w:val="0"/>
          <w:bCs/>
          <w:color w:val="000000"/>
          <w:sz w:val="32"/>
          <w:highlight w:val="white"/>
          <w:lang w:val="en-US"/>
        </w:rPr>
      </w:pPr>
      <w:r>
        <w:rPr>
          <w:rFonts w:hint="eastAsia" w:ascii="仿宋" w:hAnsi="仿宋" w:eastAsia="仿宋"/>
          <w:color w:val="000000"/>
          <w:sz w:val="32"/>
          <w:highlight w:val="white"/>
          <w:lang w:val="en-US"/>
        </w:rPr>
        <w:t>根据预算绩效管理要求，</w:t>
      </w:r>
      <w:r>
        <w:rPr>
          <w:rFonts w:hint="eastAsia" w:ascii="仿宋" w:hAnsi="仿宋" w:eastAsia="仿宋"/>
          <w:color w:val="000000"/>
          <w:sz w:val="32"/>
          <w:highlight w:val="white"/>
          <w:lang w:val="en-US" w:eastAsia="zh-CN"/>
        </w:rPr>
        <w:t>遂昌县公务用车服务中心</w:t>
      </w:r>
      <w:r>
        <w:rPr>
          <w:rFonts w:hint="eastAsia" w:ascii="仿宋" w:hAnsi="仿宋" w:eastAsia="仿宋"/>
          <w:color w:val="000000"/>
          <w:sz w:val="32"/>
          <w:highlight w:val="white"/>
          <w:lang w:val="en-US"/>
        </w:rPr>
        <w:t>组织对2022年度一般公共预算项目支出全面开展绩效自评，其中，一级项目</w:t>
      </w:r>
      <w:r>
        <w:rPr>
          <w:rFonts w:hint="eastAsia" w:ascii="仿宋" w:hAnsi="仿宋" w:eastAsia="仿宋"/>
          <w:color w:val="000000"/>
          <w:sz w:val="32"/>
          <w:highlight w:val="white"/>
          <w:lang w:val="en-US" w:eastAsia="zh-CN"/>
        </w:rPr>
        <w:t>1</w:t>
      </w:r>
      <w:r>
        <w:rPr>
          <w:rFonts w:hint="eastAsia" w:ascii="仿宋" w:hAnsi="仿宋" w:eastAsia="仿宋"/>
          <w:color w:val="000000"/>
          <w:sz w:val="32"/>
          <w:highlight w:val="white"/>
          <w:lang w:val="en-US"/>
        </w:rPr>
        <w:t>个，二级项目</w:t>
      </w:r>
      <w:r>
        <w:rPr>
          <w:rFonts w:hint="eastAsia" w:ascii="仿宋" w:hAnsi="仿宋" w:eastAsia="仿宋"/>
          <w:color w:val="000000"/>
          <w:sz w:val="32"/>
          <w:highlight w:val="white"/>
          <w:lang w:val="en-US" w:eastAsia="zh-CN"/>
        </w:rPr>
        <w:t>2</w:t>
      </w:r>
      <w:r>
        <w:rPr>
          <w:rFonts w:hint="eastAsia" w:ascii="仿宋" w:hAnsi="仿宋" w:eastAsia="仿宋"/>
          <w:color w:val="000000"/>
          <w:sz w:val="32"/>
          <w:highlight w:val="white"/>
          <w:lang w:val="en-US"/>
        </w:rPr>
        <w:t>个，共涉及资金</w:t>
      </w:r>
      <w:r>
        <w:rPr>
          <w:rFonts w:hint="eastAsia" w:ascii="仿宋" w:hAnsi="仿宋" w:eastAsia="仿宋"/>
          <w:color w:val="000000"/>
          <w:sz w:val="32"/>
          <w:highlight w:val="white"/>
          <w:lang w:val="en-US" w:eastAsia="zh-CN"/>
        </w:rPr>
        <w:t>132.98</w:t>
      </w:r>
      <w:r>
        <w:rPr>
          <w:rFonts w:hint="eastAsia" w:ascii="仿宋" w:hAnsi="仿宋" w:eastAsia="仿宋"/>
          <w:color w:val="000000"/>
          <w:sz w:val="32"/>
          <w:highlight w:val="white"/>
          <w:lang w:val="en-US"/>
        </w:rPr>
        <w:t>万元，占一般公共预算项目支出总额的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%。组织对2022年度</w:t>
      </w:r>
      <w:r>
        <w:rPr>
          <w:rFonts w:hint="eastAsia" w:ascii="仿宋" w:hAnsi="仿宋" w:eastAsia="仿宋" w:cs="Times New Roman"/>
          <w:color w:val="000000"/>
          <w:sz w:val="32"/>
          <w:highlight w:val="white"/>
          <w:lang w:val="en-US"/>
        </w:rPr>
        <w:t>办公</w:t>
      </w:r>
      <w:r>
        <w:rPr>
          <w:rFonts w:hint="eastAsia" w:ascii="仿宋" w:hAnsi="仿宋" w:eastAsia="仿宋" w:cs="Times New Roman"/>
          <w:color w:val="000000"/>
          <w:sz w:val="32"/>
          <w:highlight w:val="white"/>
          <w:lang w:val="en-US" w:eastAsia="zh-CN"/>
        </w:rPr>
        <w:t>楼</w:t>
      </w:r>
      <w:r>
        <w:rPr>
          <w:rFonts w:hint="eastAsia" w:ascii="仿宋" w:hAnsi="仿宋" w:eastAsia="仿宋" w:cs="Times New Roman"/>
          <w:color w:val="000000"/>
          <w:sz w:val="32"/>
          <w:highlight w:val="white"/>
          <w:lang w:val="en-US"/>
        </w:rPr>
        <w:t>租金</w:t>
      </w:r>
      <w:r>
        <w:rPr>
          <w:rFonts w:hint="eastAsia" w:ascii="仿宋" w:hAnsi="仿宋" w:eastAsia="仿宋"/>
          <w:color w:val="000000"/>
          <w:sz w:val="32"/>
          <w:highlight w:val="white"/>
          <w:lang w:val="en-US"/>
        </w:rPr>
        <w:t>等</w:t>
      </w:r>
      <w:r>
        <w:rPr>
          <w:rFonts w:hint="eastAsia" w:ascii="仿宋" w:hAnsi="仿宋" w:eastAsia="仿宋"/>
          <w:color w:val="000000"/>
          <w:sz w:val="32"/>
          <w:highlight w:val="white"/>
          <w:lang w:val="en-US" w:eastAsia="zh-CN"/>
        </w:rPr>
        <w:t>2</w:t>
      </w:r>
      <w:r>
        <w:rPr>
          <w:rFonts w:hint="eastAsia" w:ascii="仿宋" w:hAnsi="仿宋" w:eastAsia="仿宋"/>
          <w:color w:val="000000"/>
          <w:sz w:val="32"/>
          <w:highlight w:val="white"/>
          <w:lang w:val="en-US"/>
        </w:rPr>
        <w:t>个政府性基金预算项目支出开展绩效自评，共涉及资金</w:t>
      </w:r>
      <w:r>
        <w:rPr>
          <w:rFonts w:hint="eastAsia" w:ascii="仿宋" w:hAnsi="仿宋" w:eastAsia="仿宋"/>
          <w:color w:val="000000"/>
          <w:sz w:val="32"/>
          <w:highlight w:val="white"/>
          <w:lang w:val="en-US" w:eastAsia="zh-CN"/>
        </w:rPr>
        <w:t>31.57</w:t>
      </w:r>
      <w:r>
        <w:rPr>
          <w:rFonts w:hint="eastAsia" w:ascii="仿宋" w:hAnsi="仿宋" w:eastAsia="仿宋"/>
          <w:color w:val="000000"/>
          <w:sz w:val="32"/>
          <w:highlight w:val="white"/>
          <w:lang w:val="en-US"/>
        </w:rPr>
        <w:t>万元，占政府性基金预算项目支出总额的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w:t>
      </w:r>
      <w:r>
        <w:rPr>
          <w:rFonts w:hint="eastAsia" w:ascii="仿宋" w:hAnsi="仿宋" w:eastAsia="仿宋"/>
          <w:b w:val="0"/>
          <w:bCs/>
          <w:color w:val="000000"/>
          <w:sz w:val="32"/>
          <w:highlight w:val="white"/>
          <w:lang w:val="en-US"/>
        </w:rPr>
        <w:t>本年无国有资本经营预算项目。</w:t>
      </w:r>
    </w:p>
    <w:p>
      <w:pPr>
        <w:spacing w:beforeLines="0" w:afterLines="0" w:line="600" w:lineRule="exact"/>
        <w:ind w:firstLine="640"/>
        <w:rPr>
          <w:rFonts w:hint="eastAsia" w:ascii="仿宋" w:hAnsi="仿宋" w:eastAsia="仿宋"/>
          <w:color w:val="000000"/>
          <w:sz w:val="32"/>
          <w:highlight w:val="white"/>
        </w:rPr>
      </w:pPr>
      <w:r>
        <w:rPr>
          <w:rFonts w:hint="eastAsia" w:ascii="仿宋" w:hAnsi="仿宋" w:eastAsia="仿宋"/>
          <w:color w:val="000000"/>
          <w:sz w:val="32"/>
          <w:highlight w:val="white"/>
        </w:rPr>
        <w:t>组织对</w:t>
      </w:r>
      <w:r>
        <w:rPr>
          <w:rFonts w:hint="default" w:ascii="仿宋" w:hAnsi="仿宋" w:eastAsia="仿宋"/>
          <w:color w:val="000000"/>
          <w:sz w:val="32"/>
          <w:highlight w:val="white"/>
        </w:rPr>
        <w:t>“</w:t>
      </w:r>
      <w:r>
        <w:rPr>
          <w:rFonts w:hint="eastAsia" w:ascii="仿宋" w:hAnsi="仿宋" w:eastAsia="仿宋"/>
          <w:color w:val="000000"/>
          <w:sz w:val="32"/>
          <w:highlight w:val="white"/>
        </w:rPr>
        <w:t>车辆购置费用</w:t>
      </w:r>
      <w:r>
        <w:rPr>
          <w:rFonts w:hint="default" w:ascii="仿宋" w:hAnsi="仿宋" w:eastAsia="仿宋"/>
          <w:color w:val="000000"/>
          <w:sz w:val="32"/>
          <w:highlight w:val="white"/>
        </w:rPr>
        <w:t>”</w:t>
      </w:r>
      <w:r>
        <w:rPr>
          <w:rFonts w:hint="eastAsia" w:ascii="仿宋" w:hAnsi="仿宋" w:eastAsia="仿宋"/>
          <w:color w:val="000000"/>
          <w:sz w:val="32"/>
          <w:highlight w:val="white"/>
        </w:rPr>
        <w:t>等</w:t>
      </w:r>
      <w:r>
        <w:rPr>
          <w:rFonts w:hint="eastAsia" w:ascii="仿宋" w:hAnsi="仿宋" w:eastAsia="仿宋"/>
          <w:color w:val="000000"/>
          <w:sz w:val="32"/>
          <w:highlight w:val="white"/>
          <w:lang w:val="en-US" w:eastAsia="zh-CN"/>
        </w:rPr>
        <w:t>4</w:t>
      </w:r>
      <w:r>
        <w:rPr>
          <w:rFonts w:hint="eastAsia" w:ascii="仿宋" w:hAnsi="仿宋" w:eastAsia="仿宋"/>
          <w:color w:val="000000"/>
          <w:sz w:val="32"/>
          <w:highlight w:val="white"/>
        </w:rPr>
        <w:t>个项目开展了部门评价，涉及一般公共预算支出</w:t>
      </w:r>
      <w:r>
        <w:rPr>
          <w:rFonts w:hint="eastAsia" w:ascii="仿宋" w:hAnsi="仿宋" w:eastAsia="仿宋"/>
          <w:color w:val="000000"/>
          <w:sz w:val="32"/>
          <w:highlight w:val="white"/>
          <w:lang w:val="en-US" w:eastAsia="zh-CN"/>
        </w:rPr>
        <w:t>132.98</w:t>
      </w:r>
      <w:r>
        <w:rPr>
          <w:rFonts w:hint="eastAsia" w:ascii="仿宋" w:hAnsi="仿宋" w:eastAsia="仿宋"/>
          <w:color w:val="000000"/>
          <w:sz w:val="32"/>
          <w:highlight w:val="white"/>
        </w:rPr>
        <w:t>万元，政府性基金预算支出</w:t>
      </w:r>
      <w:r>
        <w:rPr>
          <w:rFonts w:hint="eastAsia" w:ascii="仿宋" w:hAnsi="仿宋" w:eastAsia="仿宋"/>
          <w:color w:val="000000"/>
          <w:sz w:val="32"/>
          <w:highlight w:val="white"/>
          <w:lang w:val="en-US" w:eastAsia="zh-CN"/>
        </w:rPr>
        <w:t>31.57</w:t>
      </w:r>
      <w:r>
        <w:rPr>
          <w:rFonts w:hint="eastAsia" w:ascii="仿宋" w:hAnsi="仿宋" w:eastAsia="仿宋"/>
          <w:color w:val="000000"/>
          <w:sz w:val="32"/>
          <w:highlight w:val="white"/>
        </w:rPr>
        <w:t>万元，国有资本经营预算支出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rPr>
        <w:t>万元。</w:t>
      </w:r>
    </w:p>
    <w:p>
      <w:pPr>
        <w:spacing w:beforeLines="0" w:afterLines="0" w:line="600" w:lineRule="exact"/>
        <w:ind w:firstLine="640"/>
        <w:rPr>
          <w:rFonts w:hint="eastAsia" w:ascii="仿宋" w:hAnsi="仿宋" w:eastAsia="仿宋"/>
          <w:b w:val="0"/>
          <w:bCs/>
          <w:color w:val="000000"/>
          <w:sz w:val="32"/>
          <w:highlight w:val="white"/>
          <w:lang w:val="en-US"/>
        </w:rPr>
      </w:pPr>
      <w:r>
        <w:rPr>
          <w:rFonts w:hint="eastAsia" w:ascii="仿宋" w:hAnsi="仿宋" w:eastAsia="仿宋"/>
          <w:b w:val="0"/>
          <w:bCs/>
          <w:color w:val="000000"/>
          <w:sz w:val="32"/>
          <w:highlight w:val="white"/>
          <w:lang w:val="en-US"/>
        </w:rPr>
        <w:t>本年无部门整体支出绩效评价。</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b w:val="0"/>
          <w:bCs/>
          <w:color w:val="000000"/>
          <w:sz w:val="32"/>
          <w:highlight w:val="white"/>
          <w:lang w:val="en-US"/>
        </w:rPr>
        <w:t>本年无下属部门整体支出绩效评价。</w:t>
      </w:r>
    </w:p>
    <w:p>
      <w:pPr>
        <w:spacing w:beforeLines="0" w:afterLines="0" w:line="600" w:lineRule="exact"/>
        <w:ind w:firstLine="641"/>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2.单位决算中项目绩效自评结果。</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eastAsia="zh-CN"/>
        </w:rPr>
        <w:t>遂昌县公务用车服务中心</w:t>
      </w:r>
      <w:r>
        <w:rPr>
          <w:rFonts w:hint="eastAsia" w:ascii="仿宋" w:hAnsi="仿宋" w:eastAsia="仿宋"/>
          <w:color w:val="000000"/>
          <w:sz w:val="32"/>
          <w:highlight w:val="white"/>
          <w:lang w:val="en-US"/>
        </w:rPr>
        <w:t>随决算公开2022年度本单位项目支出绩效自评结果（详见附件）。其中，</w:t>
      </w:r>
      <w:r>
        <w:rPr>
          <w:rFonts w:hint="eastAsia" w:ascii="仿宋" w:hAnsi="仿宋" w:eastAsia="仿宋"/>
          <w:color w:val="000000"/>
          <w:sz w:val="32"/>
          <w:highlight w:val="white"/>
        </w:rPr>
        <w:t>车辆购置费用</w:t>
      </w:r>
      <w:r>
        <w:rPr>
          <w:rFonts w:hint="eastAsia" w:ascii="仿宋" w:hAnsi="仿宋" w:eastAsia="仿宋"/>
          <w:color w:val="000000"/>
          <w:sz w:val="32"/>
          <w:highlight w:val="white"/>
          <w:lang w:val="en-US"/>
        </w:rPr>
        <w:t>项目绩效自评具体情况如下：</w:t>
      </w:r>
    </w:p>
    <w:p>
      <w:pPr>
        <w:pStyle w:val="2"/>
        <w:spacing w:before="0" w:beforeAutospacing="0" w:after="0" w:afterAutospacing="0" w:line="520" w:lineRule="exact"/>
        <w:ind w:firstLine="640" w:firstLineChars="200"/>
        <w:rPr>
          <w:rFonts w:ascii="仿宋_GB2312" w:eastAsia="仿宋_GB2312"/>
          <w:b/>
          <w:sz w:val="32"/>
          <w:szCs w:val="32"/>
        </w:rPr>
      </w:pPr>
      <w:r>
        <w:rPr>
          <w:rFonts w:hint="eastAsia" w:ascii="仿宋" w:hAnsi="仿宋" w:eastAsia="仿宋"/>
          <w:color w:val="000000"/>
          <w:sz w:val="32"/>
          <w:highlight w:val="white"/>
        </w:rPr>
        <w:t>车辆购置费用</w:t>
      </w:r>
      <w:r>
        <w:rPr>
          <w:rFonts w:hint="eastAsia" w:ascii="仿宋" w:hAnsi="仿宋" w:eastAsia="仿宋"/>
          <w:color w:val="000000"/>
          <w:sz w:val="32"/>
          <w:highlight w:val="white"/>
          <w:lang w:val="en-US"/>
        </w:rPr>
        <w:t>项目绩效自评综述：根据年初设定的绩效目标，项目自评得分</w:t>
      </w:r>
      <w:r>
        <w:rPr>
          <w:rFonts w:hint="eastAsia" w:ascii="仿宋" w:hAnsi="仿宋" w:eastAsia="仿宋"/>
          <w:color w:val="000000"/>
          <w:sz w:val="32"/>
          <w:highlight w:val="white"/>
          <w:lang w:val="en-US" w:eastAsia="zh-CN"/>
        </w:rPr>
        <w:t>98</w:t>
      </w:r>
      <w:r>
        <w:rPr>
          <w:rFonts w:hint="eastAsia" w:ascii="仿宋" w:hAnsi="仿宋" w:eastAsia="仿宋"/>
          <w:color w:val="000000"/>
          <w:sz w:val="32"/>
          <w:highlight w:val="white"/>
          <w:lang w:val="en-US"/>
        </w:rPr>
        <w:t>分，自评结论为</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eastAsia="zh-CN"/>
        </w:rPr>
        <w:t>优</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。项目全年预算数为</w:t>
      </w:r>
      <w:r>
        <w:rPr>
          <w:rFonts w:hint="eastAsia" w:ascii="仿宋" w:hAnsi="仿宋" w:eastAsia="仿宋"/>
          <w:color w:val="000000"/>
          <w:sz w:val="32"/>
          <w:highlight w:val="white"/>
          <w:lang w:val="en-US" w:eastAsia="zh-CN"/>
        </w:rPr>
        <w:t>131.33</w:t>
      </w:r>
      <w:r>
        <w:rPr>
          <w:rFonts w:hint="eastAsia" w:ascii="仿宋" w:hAnsi="仿宋" w:eastAsia="仿宋"/>
          <w:color w:val="000000"/>
          <w:sz w:val="32"/>
          <w:highlight w:val="white"/>
          <w:lang w:val="en-US"/>
        </w:rPr>
        <w:t>万元，执行数为</w:t>
      </w:r>
      <w:r>
        <w:rPr>
          <w:rFonts w:hint="eastAsia" w:ascii="仿宋" w:hAnsi="仿宋" w:eastAsia="仿宋"/>
          <w:color w:val="000000"/>
          <w:sz w:val="32"/>
          <w:highlight w:val="white"/>
          <w:lang w:val="en-US" w:eastAsia="zh-CN"/>
        </w:rPr>
        <w:t>131.33</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%。项目绩效目标完成情况：1.项目与目前政策相符，项目立项规范、合理，资金到位及时、使用合规、监控有效，工作及财务管理制度健全、执行有效、项目质量可控达到了预定的目标。</w:t>
      </w:r>
      <w:r>
        <w:rPr>
          <w:rFonts w:hint="eastAsia" w:ascii="仿宋" w:hAnsi="仿宋" w:eastAsia="仿宋"/>
          <w:color w:val="000000"/>
          <w:sz w:val="32"/>
          <w:highlight w:val="white"/>
          <w:lang w:val="en-US" w:eastAsia="zh-CN"/>
        </w:rPr>
        <w:t>2.购置了7辆公务用车，其中红旗5辆，传祺2辆。</w:t>
      </w:r>
      <w:r>
        <w:rPr>
          <w:rFonts w:hint="eastAsia" w:ascii="仿宋_GB2312" w:eastAsia="仿宋_GB2312"/>
          <w:sz w:val="32"/>
          <w:szCs w:val="32"/>
          <w:lang w:val="en-US" w:eastAsia="zh-CN"/>
        </w:rPr>
        <w:t>公务用车购置项目通过政采云系统，严格按照规定执行，各项程序规范，同时与商家也建立了良好的信用，</w:t>
      </w:r>
      <w:r>
        <w:rPr>
          <w:rFonts w:hint="eastAsia" w:ascii="仿宋_GB2312" w:eastAsia="仿宋_GB2312"/>
          <w:sz w:val="32"/>
          <w:szCs w:val="32"/>
        </w:rPr>
        <w:t>暂未发现相关问题。</w:t>
      </w:r>
    </w:p>
    <w:tbl>
      <w:tblPr>
        <w:tblStyle w:val="3"/>
        <w:tblpPr w:leftFromText="180" w:rightFromText="180" w:vertAnchor="text" w:horzAnchor="page" w:tblpX="1922" w:tblpY="51"/>
        <w:tblOverlap w:val="never"/>
        <w:tblW w:w="897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64"/>
        <w:gridCol w:w="494"/>
        <w:gridCol w:w="867"/>
        <w:gridCol w:w="120"/>
        <w:gridCol w:w="1123"/>
        <w:gridCol w:w="343"/>
        <w:gridCol w:w="1468"/>
        <w:gridCol w:w="1229"/>
        <w:gridCol w:w="240"/>
        <w:gridCol w:w="554"/>
        <w:gridCol w:w="765"/>
        <w:gridCol w:w="284"/>
        <w:gridCol w:w="10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86" w:hRule="atLeast"/>
          <w:tblCellSpacing w:w="0" w:type="dxa"/>
        </w:trPr>
        <w:tc>
          <w:tcPr>
            <w:tcW w:w="8970" w:type="dxa"/>
            <w:gridSpan w:val="13"/>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ascii="方正小标宋简体" w:hAnsi="方正小标宋简体" w:eastAsia="方正小标宋简体" w:cs="方正小标宋简体"/>
                <w:i w:val="0"/>
                <w:caps w:val="0"/>
                <w:color w:val="333333"/>
                <w:spacing w:val="0"/>
                <w:sz w:val="43"/>
                <w:szCs w:val="43"/>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blCellSpacing w:w="0" w:type="dxa"/>
        </w:trPr>
        <w:tc>
          <w:tcPr>
            <w:tcW w:w="8970" w:type="dxa"/>
            <w:gridSpan w:val="13"/>
            <w:tcBorders>
              <w:top w:val="nil"/>
              <w:left w:val="nil"/>
              <w:bottom w:val="nil"/>
              <w:right w:val="nil"/>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i w:val="0"/>
                <w:caps w:val="0"/>
                <w:color w:val="333333"/>
                <w:spacing w:val="0"/>
                <w:sz w:val="18"/>
                <w:szCs w:val="18"/>
              </w:rPr>
              <w:t>（20</w:t>
            </w:r>
            <w:r>
              <w:rPr>
                <w:rFonts w:hint="eastAsia" w:ascii="宋体" w:hAnsi="宋体" w:eastAsia="宋体" w:cs="宋体"/>
                <w:i w:val="0"/>
                <w:caps w:val="0"/>
                <w:color w:val="333333"/>
                <w:spacing w:val="0"/>
                <w:sz w:val="18"/>
                <w:szCs w:val="18"/>
                <w:lang w:val="en-US" w:eastAsia="zh-CN"/>
              </w:rPr>
              <w:t>22</w:t>
            </w:r>
            <w:r>
              <w:rPr>
                <w:rFonts w:hint="eastAsia" w:ascii="宋体" w:hAnsi="宋体" w:eastAsia="宋体" w:cs="宋体"/>
                <w:i w:val="0"/>
                <w:caps w:val="0"/>
                <w:color w:val="333333"/>
                <w:spacing w:val="0"/>
                <w:sz w:val="18"/>
                <w:szCs w:val="18"/>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i w:val="0"/>
                <w:caps w:val="0"/>
                <w:color w:val="333333"/>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32" w:hRule="atLeast"/>
          <w:tblCellSpacing w:w="0" w:type="dxa"/>
        </w:trPr>
        <w:tc>
          <w:tcPr>
            <w:tcW w:w="958"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ascii="仿宋_GB2312" w:hAnsi="微软雅黑" w:eastAsia="仿宋_GB2312" w:cs="仿宋_GB2312"/>
                <w:i w:val="0"/>
                <w:caps w:val="0"/>
                <w:color w:val="333333"/>
                <w:spacing w:val="0"/>
                <w:sz w:val="24"/>
                <w:szCs w:val="24"/>
              </w:rPr>
              <w:t>项目名称</w:t>
            </w:r>
          </w:p>
        </w:tc>
        <w:tc>
          <w:tcPr>
            <w:tcW w:w="8012"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仿宋_GB2312" w:eastAsia="仿宋_GB2312" w:cs="仿宋_GB2312"/>
                <w:color w:val="auto"/>
                <w:spacing w:val="7"/>
                <w:kern w:val="0"/>
                <w:sz w:val="24"/>
                <w:szCs w:val="24"/>
                <w:u w:val="none"/>
              </w:rPr>
              <w:t>A03车辆购置费用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blCellSpacing w:w="0" w:type="dxa"/>
        </w:trPr>
        <w:tc>
          <w:tcPr>
            <w:tcW w:w="958"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主管部门</w:t>
            </w:r>
          </w:p>
        </w:tc>
        <w:tc>
          <w:tcPr>
            <w:tcW w:w="3921"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eastAsia="宋体"/>
                <w:sz w:val="21"/>
                <w:szCs w:val="21"/>
                <w:lang w:eastAsia="zh-CN"/>
              </w:rPr>
            </w:pPr>
            <w:r>
              <w:rPr>
                <w:rFonts w:hint="eastAsia" w:ascii="宋体" w:hAnsi="宋体" w:eastAsia="宋体" w:cs="宋体"/>
                <w:i w:val="0"/>
                <w:caps w:val="0"/>
                <w:color w:val="333333"/>
                <w:spacing w:val="0"/>
                <w:sz w:val="21"/>
                <w:szCs w:val="21"/>
              </w:rPr>
              <w:t>遂昌县</w:t>
            </w:r>
            <w:r>
              <w:rPr>
                <w:rFonts w:hint="eastAsia" w:ascii="宋体" w:hAnsi="宋体" w:eastAsia="宋体" w:cs="宋体"/>
                <w:i w:val="0"/>
                <w:caps w:val="0"/>
                <w:color w:val="333333"/>
                <w:spacing w:val="0"/>
                <w:sz w:val="21"/>
                <w:szCs w:val="21"/>
                <w:lang w:eastAsia="zh-CN"/>
              </w:rPr>
              <w:t>机关事务保障中心</w:t>
            </w: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实施单位</w:t>
            </w:r>
          </w:p>
        </w:tc>
        <w:tc>
          <w:tcPr>
            <w:tcW w:w="2622"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sz w:val="21"/>
                <w:szCs w:val="21"/>
                <w:lang w:eastAsia="zh-CN"/>
              </w:rPr>
            </w:pPr>
            <w:r>
              <w:rPr>
                <w:rFonts w:hint="eastAsia" w:ascii="宋体" w:hAnsi="宋体" w:eastAsia="宋体" w:cs="宋体"/>
                <w:i w:val="0"/>
                <w:caps w:val="0"/>
                <w:color w:val="333333"/>
                <w:spacing w:val="0"/>
                <w:sz w:val="21"/>
                <w:szCs w:val="21"/>
              </w:rPr>
              <w:t>遂昌县</w:t>
            </w:r>
            <w:r>
              <w:rPr>
                <w:rFonts w:hint="eastAsia" w:ascii="宋体" w:hAnsi="宋体" w:eastAsia="宋体" w:cs="宋体"/>
                <w:i w:val="0"/>
                <w:caps w:val="0"/>
                <w:color w:val="333333"/>
                <w:spacing w:val="0"/>
                <w:sz w:val="21"/>
                <w:szCs w:val="21"/>
                <w:lang w:eastAsia="zh-CN"/>
              </w:rPr>
              <w:t>公务用车服务中心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blCellSpacing w:w="0" w:type="dxa"/>
        </w:trPr>
        <w:tc>
          <w:tcPr>
            <w:tcW w:w="958" w:type="dxa"/>
            <w:gridSpan w:val="2"/>
            <w:vMerge w:val="restart"/>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项目资金（万元）</w:t>
            </w:r>
          </w:p>
        </w:tc>
        <w:tc>
          <w:tcPr>
            <w:tcW w:w="245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年初预算数</w:t>
            </w: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全年预算数</w:t>
            </w:r>
          </w:p>
        </w:tc>
        <w:tc>
          <w:tcPr>
            <w:tcW w:w="1603"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全年执行数</w:t>
            </w:r>
          </w:p>
        </w:tc>
        <w:tc>
          <w:tcPr>
            <w:tcW w:w="10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blCellSpacing w:w="0" w:type="dxa"/>
        </w:trPr>
        <w:tc>
          <w:tcPr>
            <w:tcW w:w="958" w:type="dxa"/>
            <w:gridSpan w:val="2"/>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2453" w:type="dxa"/>
            <w:gridSpan w:val="4"/>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eastAsia" w:ascii="仿宋_GB2312" w:hAnsi="微软雅黑" w:eastAsia="仿宋_GB2312" w:cs="仿宋_GB2312"/>
                <w:i w:val="0"/>
                <w:caps w:val="0"/>
                <w:color w:val="333333"/>
                <w:spacing w:val="0"/>
                <w:sz w:val="24"/>
                <w:szCs w:val="24"/>
              </w:rPr>
              <w:t>年度资金总额</w:t>
            </w:r>
          </w:p>
        </w:tc>
        <w:tc>
          <w:tcPr>
            <w:tcW w:w="1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60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0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sz w:val="21"/>
                <w:szCs w:val="21"/>
                <w:lang w:val="en-US"/>
              </w:rPr>
            </w:pPr>
            <w:r>
              <w:rPr>
                <w:rFonts w:hint="eastAsia" w:ascii="仿宋_GB2312" w:hAnsi="仿宋_GB2312" w:eastAsia="仿宋_GB2312" w:cs="仿宋_GB2312"/>
                <w:spacing w:val="7"/>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5" w:hRule="atLeast"/>
          <w:tblCellSpacing w:w="0" w:type="dxa"/>
        </w:trPr>
        <w:tc>
          <w:tcPr>
            <w:tcW w:w="958" w:type="dxa"/>
            <w:gridSpan w:val="2"/>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2453" w:type="dxa"/>
            <w:gridSpan w:val="4"/>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其中：当年财政拨款</w:t>
            </w:r>
          </w:p>
        </w:tc>
        <w:tc>
          <w:tcPr>
            <w:tcW w:w="1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60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131.33</w:t>
            </w:r>
          </w:p>
        </w:tc>
        <w:tc>
          <w:tcPr>
            <w:tcW w:w="10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both"/>
              <w:rPr>
                <w:rFonts w:hint="default"/>
                <w:sz w:val="21"/>
                <w:szCs w:val="21"/>
                <w:lang w:val="en-US"/>
              </w:rPr>
            </w:pPr>
            <w:r>
              <w:rPr>
                <w:rFonts w:hint="eastAsia" w:ascii="仿宋_GB2312" w:hAnsi="仿宋_GB2312" w:eastAsia="仿宋_GB2312" w:cs="仿宋_GB2312"/>
                <w:spacing w:val="7"/>
                <w:kern w:val="0"/>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4" w:hRule="exact"/>
          <w:tblCellSpacing w:w="0" w:type="dxa"/>
        </w:trPr>
        <w:tc>
          <w:tcPr>
            <w:tcW w:w="958" w:type="dxa"/>
            <w:gridSpan w:val="2"/>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2453" w:type="dxa"/>
            <w:gridSpan w:val="4"/>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r>
              <w:rPr>
                <w:rFonts w:hint="eastAsia" w:ascii="仿宋_GB2312" w:hAnsi="微软雅黑" w:eastAsia="仿宋_GB2312" w:cs="仿宋_GB2312"/>
                <w:i w:val="0"/>
                <w:caps w:val="0"/>
                <w:color w:val="333333"/>
                <w:spacing w:val="0"/>
                <w:sz w:val="24"/>
                <w:szCs w:val="24"/>
              </w:rPr>
              <w:t>      上年结转资金</w:t>
            </w:r>
          </w:p>
        </w:tc>
        <w:tc>
          <w:tcPr>
            <w:tcW w:w="1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60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0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exact"/>
          <w:tblCellSpacing w:w="0" w:type="dxa"/>
        </w:trPr>
        <w:tc>
          <w:tcPr>
            <w:tcW w:w="958" w:type="dxa"/>
            <w:gridSpan w:val="2"/>
            <w:vMerge w:val="continue"/>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2453" w:type="dxa"/>
            <w:gridSpan w:val="4"/>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r>
              <w:rPr>
                <w:rFonts w:hint="eastAsia" w:ascii="仿宋_GB2312" w:hAnsi="微软雅黑" w:eastAsia="仿宋_GB2312" w:cs="仿宋_GB2312"/>
                <w:i w:val="0"/>
                <w:caps w:val="0"/>
                <w:color w:val="333333"/>
                <w:spacing w:val="0"/>
                <w:sz w:val="24"/>
                <w:szCs w:val="24"/>
              </w:rPr>
              <w:t>  其他资金</w:t>
            </w:r>
          </w:p>
        </w:tc>
        <w:tc>
          <w:tcPr>
            <w:tcW w:w="14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469"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60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c>
          <w:tcPr>
            <w:tcW w:w="101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仿宋_GB2312" w:hAnsi="微软雅黑" w:eastAsia="仿宋_GB2312" w:cs="仿宋_GB2312"/>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trPr>
        <w:tc>
          <w:tcPr>
            <w:tcW w:w="958" w:type="dxa"/>
            <w:gridSpan w:val="2"/>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年度总体目标</w:t>
            </w:r>
          </w:p>
        </w:tc>
        <w:tc>
          <w:tcPr>
            <w:tcW w:w="3921"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blCellSpacing w:w="0" w:type="dxa"/>
        </w:trPr>
        <w:tc>
          <w:tcPr>
            <w:tcW w:w="958" w:type="dxa"/>
            <w:gridSpan w:val="2"/>
            <w:vMerge w:val="continue"/>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21"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宋体" w:hAnsi="宋体" w:eastAsia="宋体" w:cs="宋体"/>
                <w:i w:val="0"/>
                <w:caps w:val="0"/>
                <w:color w:val="333333"/>
                <w:spacing w:val="0"/>
                <w:sz w:val="21"/>
                <w:szCs w:val="21"/>
              </w:rPr>
              <w:t> </w:t>
            </w:r>
            <w:r>
              <w:rPr>
                <w:rFonts w:hint="eastAsia" w:ascii="宋体" w:hAnsi="宋体" w:eastAsia="宋体" w:cs="宋体"/>
                <w:i w:val="0"/>
                <w:caps w:val="0"/>
                <w:color w:val="333333"/>
                <w:spacing w:val="0"/>
                <w:kern w:val="0"/>
                <w:sz w:val="21"/>
                <w:szCs w:val="21"/>
                <w:lang w:val="en-US" w:eastAsia="zh-CN" w:bidi="ar"/>
              </w:rPr>
              <w:t>购置7辆新车。将达到车辆更新条件，行驶里程多，车况不良，运行成本较高，并且存在安全隐患的公务用车车辆进行更新。</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宋体" w:hAnsi="宋体" w:eastAsia="宋体" w:cs="宋体"/>
                <w:i w:val="0"/>
                <w:caps w:val="0"/>
                <w:color w:val="333333"/>
                <w:spacing w:val="0"/>
                <w:kern w:val="0"/>
                <w:sz w:val="21"/>
                <w:szCs w:val="21"/>
                <w:lang w:val="en-US" w:eastAsia="zh-CN" w:bidi="ar"/>
              </w:rPr>
              <w:t>购置了7辆公务用车，其中红旗5辆，传祺2辆。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3" w:hRule="atLeast"/>
          <w:tblCellSpacing w:w="0" w:type="dxa"/>
        </w:trPr>
        <w:tc>
          <w:tcPr>
            <w:tcW w:w="464" w:type="dxa"/>
            <w:vMerge w:val="restart"/>
            <w:tcBorders>
              <w:top w:val="nil"/>
              <w:left w:val="single" w:color="auto" w:sz="6" w:space="0"/>
              <w:bottom w:val="nil"/>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绩效指标</w:t>
            </w:r>
          </w:p>
        </w:tc>
        <w:tc>
          <w:tcPr>
            <w:tcW w:w="494"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1"/>
                <w:szCs w:val="21"/>
              </w:rPr>
              <w:t>一级指标</w:t>
            </w:r>
          </w:p>
        </w:tc>
        <w:tc>
          <w:tcPr>
            <w:tcW w:w="987"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二级指标</w:t>
            </w:r>
          </w:p>
        </w:tc>
        <w:tc>
          <w:tcPr>
            <w:tcW w:w="1123" w:type="dxa"/>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三级指标</w:t>
            </w:r>
          </w:p>
        </w:tc>
        <w:tc>
          <w:tcPr>
            <w:tcW w:w="1811" w:type="dxa"/>
            <w:gridSpan w:val="2"/>
            <w:tcBorders>
              <w:top w:val="single" w:color="auto" w:sz="6" w:space="0"/>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指标值</w:t>
            </w:r>
          </w:p>
        </w:tc>
        <w:tc>
          <w:tcPr>
            <w:tcW w:w="1229"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实际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完成值</w:t>
            </w:r>
          </w:p>
        </w:tc>
        <w:tc>
          <w:tcPr>
            <w:tcW w:w="794"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权重</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得分</w:t>
            </w:r>
          </w:p>
        </w:tc>
        <w:tc>
          <w:tcPr>
            <w:tcW w:w="1303"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9" w:hRule="atLeast"/>
          <w:tblCellSpacing w:w="0" w:type="dxa"/>
        </w:trPr>
        <w:tc>
          <w:tcPr>
            <w:tcW w:w="464" w:type="dxa"/>
            <w:vMerge w:val="continue"/>
            <w:tcBorders>
              <w:top w:val="nil"/>
              <w:left w:val="single" w:color="auto" w:sz="6" w:space="0"/>
              <w:bottom w:val="nil"/>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494" w:type="dxa"/>
            <w:vMerge w:val="restart"/>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1"/>
                <w:szCs w:val="21"/>
              </w:rPr>
              <w:t>产出指标</w:t>
            </w:r>
          </w:p>
        </w:tc>
        <w:tc>
          <w:tcPr>
            <w:tcW w:w="987"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top"/>
          </w:tcPr>
          <w:p>
            <w:pPr>
              <w:spacing w:beforeLines="0" w:afterLines="0"/>
              <w:jc w:val="center"/>
              <w:rPr>
                <w:sz w:val="21"/>
                <w:szCs w:val="21"/>
              </w:rPr>
            </w:pPr>
            <w:r>
              <w:rPr>
                <w:rFonts w:hint="default" w:ascii="·ÂËÎ" w:hAnsi="·ÂËÎ" w:eastAsia="宋体"/>
                <w:color w:val="000000"/>
                <w:sz w:val="18"/>
                <w:lang w:eastAsia="zh-CN"/>
              </w:rPr>
              <w:t>数量</w:t>
            </w:r>
            <w:r>
              <w:rPr>
                <w:rFonts w:hint="default" w:ascii="·ÂËÎ" w:hAnsi="·ÂËÎ" w:eastAsia="·ÂËÎ"/>
                <w:color w:val="000000"/>
                <w:sz w:val="18"/>
              </w:rPr>
              <w:t>指标</w:t>
            </w:r>
          </w:p>
        </w:tc>
        <w:tc>
          <w:tcPr>
            <w:tcW w:w="112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spacing w:beforeLines="0" w:afterLines="0"/>
              <w:jc w:val="center"/>
              <w:rPr>
                <w:rFonts w:hint="default" w:ascii="·ÂËÎ" w:hAnsi="·ÂËÎ" w:eastAsia="宋体"/>
                <w:color w:val="000000"/>
                <w:sz w:val="18"/>
                <w:lang w:eastAsia="zh-CN"/>
              </w:rPr>
            </w:pPr>
            <w:r>
              <w:rPr>
                <w:rFonts w:hint="default" w:ascii="·ÂËÎ" w:hAnsi="·ÂËÎ" w:eastAsia="宋体"/>
                <w:color w:val="000000"/>
                <w:sz w:val="18"/>
                <w:lang w:val="en-US" w:eastAsia="zh-CN"/>
              </w:rPr>
              <w:t>政府采购率</w:t>
            </w:r>
          </w:p>
          <w:p>
            <w:pPr>
              <w:widowControl/>
              <w:wordWrap w:val="0"/>
              <w:spacing w:line="240" w:lineRule="atLeast"/>
              <w:rPr>
                <w:sz w:val="21"/>
                <w:szCs w:val="21"/>
              </w:rPr>
            </w:pPr>
          </w:p>
        </w:tc>
        <w:tc>
          <w:tcPr>
            <w:tcW w:w="1811"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sz w:val="21"/>
                <w:szCs w:val="21"/>
                <w:lang w:val="en-US"/>
              </w:rPr>
            </w:pPr>
            <w:r>
              <w:rPr>
                <w:rFonts w:hint="default" w:ascii="Arial" w:hAnsi="Arial" w:eastAsia="仿宋_GB2312" w:cs="Arial"/>
                <w:spacing w:val="7"/>
                <w:kern w:val="0"/>
                <w:sz w:val="24"/>
                <w:szCs w:val="24"/>
              </w:rPr>
              <w:t>≥</w:t>
            </w:r>
            <w:r>
              <w:rPr>
                <w:rFonts w:hint="eastAsia" w:ascii="仿宋" w:hAnsi="仿宋" w:eastAsia="仿宋" w:cs="仿宋"/>
                <w:i w:val="0"/>
                <w:color w:val="000000"/>
                <w:kern w:val="0"/>
                <w:sz w:val="18"/>
                <w:szCs w:val="18"/>
                <w:u w:val="none"/>
                <w:lang w:val="en-US" w:eastAsia="zh-CN" w:bidi="ar"/>
              </w:rPr>
              <w:t>100</w:t>
            </w:r>
          </w:p>
        </w:tc>
        <w:tc>
          <w:tcPr>
            <w:tcW w:w="1229"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default" w:eastAsiaTheme="minorEastAsia"/>
                <w:sz w:val="21"/>
                <w:szCs w:val="21"/>
                <w:lang w:val="en-US" w:eastAsia="zh-CN"/>
              </w:rPr>
            </w:pPr>
            <w:r>
              <w:rPr>
                <w:rFonts w:hint="default" w:ascii="Arial" w:hAnsi="Arial" w:eastAsia="仿宋_GB2312" w:cs="Arial"/>
                <w:spacing w:val="7"/>
                <w:kern w:val="0"/>
                <w:sz w:val="24"/>
                <w:szCs w:val="24"/>
              </w:rPr>
              <w:t>≥</w:t>
            </w:r>
            <w:r>
              <w:rPr>
                <w:rFonts w:hint="eastAsia" w:ascii="仿宋" w:hAnsi="仿宋" w:eastAsia="仿宋" w:cs="仿宋"/>
                <w:i w:val="0"/>
                <w:color w:val="000000"/>
                <w:kern w:val="0"/>
                <w:sz w:val="18"/>
                <w:szCs w:val="18"/>
                <w:u w:val="none"/>
                <w:lang w:val="en-US" w:eastAsia="zh-CN" w:bidi="ar"/>
              </w:rPr>
              <w:t>100</w:t>
            </w:r>
          </w:p>
        </w:tc>
        <w:tc>
          <w:tcPr>
            <w:tcW w:w="794"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60</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60</w:t>
            </w:r>
          </w:p>
        </w:tc>
        <w:tc>
          <w:tcPr>
            <w:tcW w:w="130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4" w:hRule="atLeast"/>
          <w:tblCellSpacing w:w="0" w:type="dxa"/>
        </w:trPr>
        <w:tc>
          <w:tcPr>
            <w:tcW w:w="464" w:type="dxa"/>
            <w:vMerge w:val="continue"/>
            <w:tcBorders>
              <w:top w:val="nil"/>
              <w:left w:val="single" w:color="auto" w:sz="6" w:space="0"/>
              <w:bottom w:val="nil"/>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494" w:type="dxa"/>
            <w:vMerge w:val="continue"/>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987"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top"/>
          </w:tcPr>
          <w:p>
            <w:pPr>
              <w:spacing w:beforeLines="0" w:afterLines="0"/>
              <w:jc w:val="center"/>
              <w:rPr>
                <w:sz w:val="21"/>
                <w:szCs w:val="21"/>
              </w:rPr>
            </w:pPr>
            <w:r>
              <w:rPr>
                <w:rFonts w:hint="eastAsia" w:ascii="·ÂËÎ" w:hAnsi="·ÂËÎ" w:eastAsia="宋体"/>
                <w:color w:val="000000"/>
                <w:sz w:val="18"/>
                <w:lang w:eastAsia="zh-CN"/>
              </w:rPr>
              <w:t>社会效益</w:t>
            </w:r>
            <w:r>
              <w:rPr>
                <w:rFonts w:hint="default" w:ascii="·ÂËÎ" w:hAnsi="·ÂËÎ" w:eastAsia="·ÂËÎ"/>
                <w:color w:val="000000"/>
                <w:sz w:val="18"/>
              </w:rPr>
              <w:t>指标</w:t>
            </w:r>
          </w:p>
        </w:tc>
        <w:tc>
          <w:tcPr>
            <w:tcW w:w="112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spacing w:beforeLines="0" w:afterLines="0"/>
              <w:jc w:val="center"/>
              <w:rPr>
                <w:rFonts w:hint="eastAsia" w:ascii="·ÂËÎ" w:hAnsi="·ÂËÎ" w:eastAsia="宋体"/>
                <w:color w:val="000000"/>
                <w:sz w:val="18"/>
                <w:lang w:eastAsia="zh-CN"/>
              </w:rPr>
            </w:pPr>
            <w:r>
              <w:rPr>
                <w:rFonts w:hint="default" w:ascii="·ÂËÎ" w:hAnsi="·ÂËÎ" w:eastAsia="宋体"/>
                <w:color w:val="000000"/>
                <w:sz w:val="18"/>
                <w:lang w:val="en-US" w:eastAsia="zh-CN"/>
              </w:rPr>
              <w:t>设备利用率</w:t>
            </w:r>
          </w:p>
          <w:p>
            <w:pPr>
              <w:widowControl/>
              <w:wordWrap w:val="0"/>
              <w:spacing w:line="240" w:lineRule="atLeast"/>
              <w:rPr>
                <w:sz w:val="21"/>
                <w:szCs w:val="21"/>
              </w:rPr>
            </w:pPr>
          </w:p>
        </w:tc>
        <w:tc>
          <w:tcPr>
            <w:tcW w:w="1811"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sz w:val="21"/>
                <w:szCs w:val="21"/>
                <w:lang w:val="en-US"/>
              </w:rPr>
            </w:pPr>
            <w:r>
              <w:rPr>
                <w:rFonts w:hint="default" w:ascii="Arial" w:hAnsi="Arial" w:eastAsia="仿宋_GB2312" w:cs="Arial"/>
                <w:spacing w:val="7"/>
                <w:kern w:val="0"/>
                <w:sz w:val="24"/>
                <w:szCs w:val="24"/>
              </w:rPr>
              <w:t>≥</w:t>
            </w:r>
            <w:r>
              <w:rPr>
                <w:rFonts w:hint="eastAsia" w:ascii="仿宋" w:hAnsi="仿宋" w:eastAsia="仿宋" w:cs="仿宋"/>
                <w:i w:val="0"/>
                <w:color w:val="000000"/>
                <w:kern w:val="0"/>
                <w:sz w:val="18"/>
                <w:szCs w:val="18"/>
                <w:u w:val="none"/>
                <w:lang w:val="en-US" w:eastAsia="zh-CN" w:bidi="ar"/>
              </w:rPr>
              <w:t>90</w:t>
            </w:r>
          </w:p>
        </w:tc>
        <w:tc>
          <w:tcPr>
            <w:tcW w:w="1229"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default" w:eastAsiaTheme="minorEastAsia"/>
                <w:sz w:val="21"/>
                <w:szCs w:val="21"/>
                <w:lang w:val="en-US" w:eastAsia="zh-CN"/>
              </w:rPr>
            </w:pPr>
            <w:r>
              <w:rPr>
                <w:rFonts w:hint="default" w:ascii="Arial" w:hAnsi="Arial" w:eastAsia="仿宋_GB2312" w:cs="Arial"/>
                <w:spacing w:val="7"/>
                <w:kern w:val="0"/>
                <w:sz w:val="24"/>
                <w:szCs w:val="24"/>
              </w:rPr>
              <w:t>≥</w:t>
            </w:r>
            <w:r>
              <w:rPr>
                <w:rFonts w:hint="eastAsia" w:ascii="仿宋" w:hAnsi="仿宋" w:eastAsia="仿宋" w:cs="仿宋"/>
                <w:i w:val="0"/>
                <w:color w:val="000000"/>
                <w:kern w:val="0"/>
                <w:sz w:val="18"/>
                <w:szCs w:val="18"/>
                <w:u w:val="none"/>
                <w:lang w:val="en-US" w:eastAsia="zh-CN" w:bidi="ar"/>
              </w:rPr>
              <w:t>90</w:t>
            </w:r>
          </w:p>
        </w:tc>
        <w:tc>
          <w:tcPr>
            <w:tcW w:w="794"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20</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19</w:t>
            </w:r>
          </w:p>
        </w:tc>
        <w:tc>
          <w:tcPr>
            <w:tcW w:w="130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38" w:hRule="atLeast"/>
          <w:tblCellSpacing w:w="0" w:type="dxa"/>
        </w:trPr>
        <w:tc>
          <w:tcPr>
            <w:tcW w:w="464" w:type="dxa"/>
            <w:vMerge w:val="continue"/>
            <w:tcBorders>
              <w:top w:val="nil"/>
              <w:left w:val="single" w:color="auto" w:sz="6" w:space="0"/>
              <w:bottom w:val="nil"/>
              <w:right w:val="single"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4"/>
                <w:szCs w:val="24"/>
              </w:rPr>
            </w:pPr>
          </w:p>
        </w:tc>
        <w:tc>
          <w:tcPr>
            <w:tcW w:w="494"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1"/>
                <w:szCs w:val="21"/>
              </w:rPr>
              <w:t>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1"/>
                <w:szCs w:val="21"/>
              </w:rPr>
              <w:t>指标</w:t>
            </w:r>
          </w:p>
        </w:tc>
        <w:tc>
          <w:tcPr>
            <w:tcW w:w="987"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1"/>
                <w:szCs w:val="21"/>
              </w:rPr>
              <w:t>服务对象满意度指标</w:t>
            </w:r>
          </w:p>
        </w:tc>
        <w:tc>
          <w:tcPr>
            <w:tcW w:w="1123"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top"/>
          </w:tcPr>
          <w:p>
            <w:pPr>
              <w:spacing w:beforeLines="0" w:afterLines="0"/>
              <w:jc w:val="center"/>
              <w:rPr>
                <w:sz w:val="21"/>
                <w:szCs w:val="21"/>
              </w:rPr>
            </w:pPr>
            <w:r>
              <w:rPr>
                <w:rFonts w:hint="default" w:ascii="·ÂËÎ" w:hAnsi="·ÂËÎ" w:eastAsia="·ÂËÎ"/>
                <w:color w:val="000000"/>
                <w:sz w:val="18"/>
              </w:rPr>
              <w:t>满意度</w:t>
            </w:r>
          </w:p>
        </w:tc>
        <w:tc>
          <w:tcPr>
            <w:tcW w:w="1811"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sz w:val="21"/>
                <w:szCs w:val="21"/>
              </w:rPr>
            </w:pPr>
            <w:r>
              <w:rPr>
                <w:rFonts w:hint="default" w:ascii="Arial" w:hAnsi="Arial" w:eastAsia="仿宋_GB2312" w:cs="Arial"/>
                <w:spacing w:val="7"/>
                <w:kern w:val="0"/>
                <w:sz w:val="24"/>
                <w:szCs w:val="24"/>
              </w:rPr>
              <w:t>≥</w:t>
            </w:r>
            <w:r>
              <w:rPr>
                <w:rFonts w:hint="eastAsia" w:ascii="仿宋_GB2312" w:hAnsi="仿宋_GB2312" w:eastAsia="仿宋_GB2312" w:cs="仿宋_GB2312"/>
                <w:spacing w:val="7"/>
                <w:kern w:val="0"/>
                <w:sz w:val="24"/>
                <w:szCs w:val="24"/>
              </w:rPr>
              <w:t>9</w:t>
            </w:r>
            <w:r>
              <w:rPr>
                <w:rFonts w:hint="eastAsia" w:ascii="仿宋_GB2312" w:hAnsi="仿宋_GB2312" w:eastAsia="仿宋_GB2312" w:cs="仿宋_GB2312"/>
                <w:spacing w:val="7"/>
                <w:kern w:val="0"/>
                <w:sz w:val="24"/>
                <w:szCs w:val="24"/>
                <w:lang w:val="en-US" w:eastAsia="zh-CN"/>
              </w:rPr>
              <w:t>5</w:t>
            </w:r>
            <w:r>
              <w:rPr>
                <w:rFonts w:hint="eastAsia" w:ascii="仿宋_GB2312" w:hAnsi="仿宋_GB2312" w:eastAsia="仿宋_GB2312" w:cs="仿宋_GB2312"/>
                <w:spacing w:val="7"/>
                <w:kern w:val="0"/>
                <w:sz w:val="24"/>
                <w:szCs w:val="24"/>
              </w:rPr>
              <w:t>%</w:t>
            </w:r>
          </w:p>
        </w:tc>
        <w:tc>
          <w:tcPr>
            <w:tcW w:w="1229" w:type="dxa"/>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eastAsia" w:eastAsiaTheme="minorEastAsia"/>
                <w:sz w:val="21"/>
                <w:szCs w:val="21"/>
                <w:lang w:val="en-US" w:eastAsia="zh-CN"/>
              </w:rPr>
            </w:pPr>
            <w:r>
              <w:rPr>
                <w:rFonts w:hint="default" w:ascii="Arial" w:hAnsi="Arial" w:eastAsia="仿宋_GB2312" w:cs="Arial"/>
                <w:spacing w:val="7"/>
                <w:kern w:val="0"/>
                <w:sz w:val="24"/>
                <w:szCs w:val="24"/>
              </w:rPr>
              <w:t>≥</w:t>
            </w:r>
            <w:r>
              <w:rPr>
                <w:rFonts w:hint="eastAsia" w:ascii="仿宋_GB2312" w:hAnsi="仿宋_GB2312" w:eastAsia="仿宋_GB2312" w:cs="仿宋_GB2312"/>
                <w:spacing w:val="7"/>
                <w:kern w:val="0"/>
                <w:sz w:val="24"/>
                <w:szCs w:val="24"/>
              </w:rPr>
              <w:t>9</w:t>
            </w:r>
            <w:r>
              <w:rPr>
                <w:rFonts w:hint="eastAsia" w:ascii="仿宋_GB2312" w:hAnsi="仿宋_GB2312" w:eastAsia="仿宋_GB2312" w:cs="仿宋_GB2312"/>
                <w:spacing w:val="7"/>
                <w:kern w:val="0"/>
                <w:sz w:val="24"/>
                <w:szCs w:val="24"/>
                <w:lang w:val="en-US" w:eastAsia="zh-CN"/>
              </w:rPr>
              <w:t>5</w:t>
            </w:r>
            <w:r>
              <w:rPr>
                <w:rFonts w:hint="eastAsia" w:ascii="仿宋_GB2312" w:hAnsi="仿宋_GB2312" w:eastAsia="仿宋_GB2312" w:cs="仿宋_GB2312"/>
                <w:spacing w:val="7"/>
                <w:kern w:val="0"/>
                <w:sz w:val="24"/>
                <w:szCs w:val="24"/>
              </w:rPr>
              <w:t>%</w:t>
            </w:r>
          </w:p>
        </w:tc>
        <w:tc>
          <w:tcPr>
            <w:tcW w:w="794" w:type="dxa"/>
            <w:gridSpan w:val="2"/>
            <w:tcBorders>
              <w:top w:val="nil"/>
              <w:left w:val="nil"/>
              <w:bottom w:val="single" w:color="auto" w:sz="6" w:space="0"/>
              <w:right w:val="single" w:color="auto" w:sz="6" w:space="0"/>
            </w:tcBorders>
            <w:shd w:val="clear" w:color="auto" w:fill="FFFFFF"/>
            <w:tcMar>
              <w:top w:w="0" w:type="dxa"/>
              <w:left w:w="0" w:type="dxa"/>
              <w:bottom w:w="0" w:type="dxa"/>
              <w:right w:w="0" w:type="dxa"/>
            </w:tcMar>
            <w:vAlign w:val="center"/>
          </w:tcPr>
          <w:p>
            <w:pPr>
              <w:widowControl/>
              <w:wordWrap w:val="0"/>
              <w:rPr>
                <w:rFonts w:hint="default" w:eastAsiaTheme="minorEastAsia"/>
                <w:sz w:val="21"/>
                <w:szCs w:val="21"/>
                <w:lang w:val="en-US" w:eastAsia="zh-CN"/>
              </w:rPr>
            </w:pPr>
            <w:r>
              <w:rPr>
                <w:rFonts w:hint="eastAsia" w:ascii="仿宋_GB2312" w:hAnsi="仿宋_GB2312" w:eastAsia="仿宋_GB2312" w:cs="仿宋_GB2312"/>
                <w:spacing w:val="7"/>
                <w:kern w:val="0"/>
                <w:sz w:val="24"/>
                <w:szCs w:val="24"/>
                <w:lang w:val="en-US" w:eastAsia="zh-CN"/>
              </w:rPr>
              <w:t>20</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hint="default" w:eastAsiaTheme="minorEastAsia"/>
                <w:sz w:val="21"/>
                <w:szCs w:val="21"/>
                <w:lang w:val="en-US" w:eastAsia="zh-CN"/>
              </w:rPr>
            </w:pPr>
            <w:r>
              <w:rPr>
                <w:rFonts w:hint="eastAsia"/>
                <w:sz w:val="21"/>
                <w:szCs w:val="21"/>
                <w:lang w:val="en-US" w:eastAsia="zh-CN"/>
              </w:rPr>
              <w:t>19</w:t>
            </w:r>
          </w:p>
        </w:tc>
        <w:tc>
          <w:tcPr>
            <w:tcW w:w="130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6" w:hRule="atLeast"/>
          <w:tblCellSpacing w:w="0" w:type="dxa"/>
        </w:trPr>
        <w:tc>
          <w:tcPr>
            <w:tcW w:w="6108" w:type="dxa"/>
            <w:gridSpan w:val="8"/>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总分</w:t>
            </w:r>
          </w:p>
        </w:tc>
        <w:tc>
          <w:tcPr>
            <w:tcW w:w="794"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100</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z w:val="21"/>
                <w:szCs w:val="21"/>
                <w:lang w:val="en-US" w:eastAsia="zh-CN"/>
              </w:rPr>
            </w:pPr>
            <w:r>
              <w:rPr>
                <w:rFonts w:hint="eastAsia" w:ascii="宋体" w:hAnsi="宋体" w:eastAsia="宋体" w:cs="宋体"/>
                <w:i w:val="0"/>
                <w:caps w:val="0"/>
                <w:color w:val="333333"/>
                <w:spacing w:val="0"/>
                <w:sz w:val="24"/>
                <w:szCs w:val="24"/>
                <w:lang w:val="en-US" w:eastAsia="zh-CN"/>
              </w:rPr>
              <w:t>98</w:t>
            </w:r>
          </w:p>
        </w:tc>
        <w:tc>
          <w:tcPr>
            <w:tcW w:w="1303"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0" w:hRule="atLeast"/>
          <w:tblCellSpacing w:w="0" w:type="dxa"/>
        </w:trPr>
        <w:tc>
          <w:tcPr>
            <w:tcW w:w="1825"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自评结论</w:t>
            </w:r>
          </w:p>
        </w:tc>
        <w:tc>
          <w:tcPr>
            <w:tcW w:w="4283"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仿宋_GB2312" w:hAnsi="微软雅黑" w:eastAsia="仿宋_GB2312" w:cs="仿宋_GB2312"/>
                <w:i w:val="0"/>
                <w:caps w:val="0"/>
                <w:color w:val="333333"/>
                <w:spacing w:val="0"/>
                <w:sz w:val="24"/>
                <w:szCs w:val="24"/>
              </w:rPr>
              <w:t>优</w:t>
            </w:r>
            <w:r>
              <w:rPr>
                <w:rFonts w:ascii="Wingdings 2" w:hAnsi="Wingdings 2" w:eastAsia="Wingdings 2" w:cs="Wingdings 2"/>
                <w:i w:val="0"/>
                <w:caps w:val="0"/>
                <w:color w:val="333333"/>
                <w:spacing w:val="0"/>
                <w:sz w:val="24"/>
                <w:szCs w:val="24"/>
              </w:rPr>
              <w:t>R</w:t>
            </w:r>
            <w:r>
              <w:rPr>
                <w:rFonts w:hint="eastAsia" w:ascii="仿宋_GB2312" w:hAnsi="微软雅黑" w:eastAsia="仿宋_GB2312" w:cs="仿宋_GB2312"/>
                <w:i w:val="0"/>
                <w:caps w:val="0"/>
                <w:color w:val="333333"/>
                <w:spacing w:val="0"/>
                <w:sz w:val="24"/>
                <w:szCs w:val="24"/>
              </w:rPr>
              <w:t>      良□      </w:t>
            </w:r>
            <w:r>
              <w:rPr>
                <w:rFonts w:hint="eastAsia" w:ascii="宋体" w:hAnsi="宋体" w:eastAsia="宋体" w:cs="宋体"/>
                <w:i w:val="0"/>
                <w:caps w:val="0"/>
                <w:color w:val="333333"/>
                <w:spacing w:val="0"/>
                <w:sz w:val="24"/>
                <w:szCs w:val="24"/>
              </w:rPr>
              <w:t>中</w:t>
            </w:r>
            <w:r>
              <w:rPr>
                <w:rFonts w:hint="eastAsia" w:ascii="仿宋_GB2312" w:hAnsi="微软雅黑" w:eastAsia="仿宋_GB2312" w:cs="仿宋_GB2312"/>
                <w:i w:val="0"/>
                <w:caps w:val="0"/>
                <w:color w:val="333333"/>
                <w:spacing w:val="0"/>
                <w:sz w:val="24"/>
                <w:szCs w:val="24"/>
              </w:rPr>
              <w:t>□    </w:t>
            </w:r>
            <w:r>
              <w:rPr>
                <w:rFonts w:hint="eastAsia" w:ascii="宋体" w:hAnsi="宋体" w:eastAsia="宋体" w:cs="宋体"/>
                <w:i w:val="0"/>
                <w:caps w:val="0"/>
                <w:color w:val="333333"/>
                <w:spacing w:val="0"/>
                <w:sz w:val="24"/>
                <w:szCs w:val="24"/>
              </w:rPr>
              <w:t>差</w:t>
            </w:r>
            <w:r>
              <w:rPr>
                <w:rFonts w:hint="eastAsia" w:ascii="仿宋_GB2312" w:hAnsi="微软雅黑" w:eastAsia="仿宋_GB2312" w:cs="仿宋_GB2312"/>
                <w:i w:val="0"/>
                <w:caps w:val="0"/>
                <w:color w:val="333333"/>
                <w:spacing w:val="0"/>
                <w:sz w:val="24"/>
                <w:szCs w:val="24"/>
              </w:rPr>
              <w:t>□</w:t>
            </w:r>
          </w:p>
        </w:tc>
        <w:tc>
          <w:tcPr>
            <w:tcW w:w="2862"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caps w:val="0"/>
                <w:color w:val="333333"/>
                <w:spacing w:val="0"/>
                <w:sz w:val="18"/>
                <w:szCs w:val="18"/>
              </w:rPr>
              <w:t>总分高于90</w:t>
            </w:r>
            <w:r>
              <w:rPr>
                <w:rFonts w:hint="eastAsia" w:ascii="宋体" w:hAnsi="宋体" w:eastAsia="宋体" w:cs="宋体"/>
                <w:i w:val="0"/>
                <w:caps w:val="0"/>
                <w:color w:val="333333"/>
                <w:spacing w:val="0"/>
                <w:sz w:val="18"/>
                <w:szCs w:val="18"/>
              </w:rPr>
              <w:t>分（含）的结论为</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优</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w:t>
            </w:r>
            <w:r>
              <w:rPr>
                <w:rFonts w:hint="eastAsia" w:ascii="仿宋_GB2312" w:hAnsi="微软雅黑" w:eastAsia="仿宋_GB2312" w:cs="仿宋_GB2312"/>
                <w:i w:val="0"/>
                <w:caps w:val="0"/>
                <w:color w:val="333333"/>
                <w:spacing w:val="0"/>
                <w:sz w:val="18"/>
                <w:szCs w:val="18"/>
              </w:rPr>
              <w:t>90</w:t>
            </w:r>
            <w:r>
              <w:rPr>
                <w:rFonts w:hint="eastAsia" w:ascii="宋体" w:hAnsi="宋体" w:eastAsia="宋体" w:cs="宋体"/>
                <w:i w:val="0"/>
                <w:caps w:val="0"/>
                <w:color w:val="333333"/>
                <w:spacing w:val="0"/>
                <w:sz w:val="18"/>
                <w:szCs w:val="18"/>
              </w:rPr>
              <w:t>～</w:t>
            </w:r>
            <w:r>
              <w:rPr>
                <w:rFonts w:hint="eastAsia" w:ascii="仿宋_GB2312" w:hAnsi="微软雅黑" w:eastAsia="仿宋_GB2312" w:cs="仿宋_GB2312"/>
                <w:i w:val="0"/>
                <w:caps w:val="0"/>
                <w:color w:val="333333"/>
                <w:spacing w:val="0"/>
                <w:sz w:val="18"/>
                <w:szCs w:val="18"/>
              </w:rPr>
              <w:t>80</w:t>
            </w:r>
            <w:r>
              <w:rPr>
                <w:rFonts w:hint="eastAsia" w:ascii="宋体" w:hAnsi="宋体" w:eastAsia="宋体" w:cs="宋体"/>
                <w:i w:val="0"/>
                <w:caps w:val="0"/>
                <w:color w:val="333333"/>
                <w:spacing w:val="0"/>
                <w:sz w:val="18"/>
                <w:szCs w:val="18"/>
              </w:rPr>
              <w:t>分（含）为</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良</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w:t>
            </w:r>
            <w:r>
              <w:rPr>
                <w:rFonts w:hint="eastAsia" w:ascii="仿宋_GB2312" w:hAnsi="微软雅黑" w:eastAsia="仿宋_GB2312" w:cs="仿宋_GB2312"/>
                <w:i w:val="0"/>
                <w:caps w:val="0"/>
                <w:color w:val="333333"/>
                <w:spacing w:val="0"/>
                <w:sz w:val="18"/>
                <w:szCs w:val="18"/>
              </w:rPr>
              <w:t>80</w:t>
            </w:r>
            <w:r>
              <w:rPr>
                <w:rFonts w:hint="eastAsia" w:ascii="宋体" w:hAnsi="宋体" w:eastAsia="宋体" w:cs="宋体"/>
                <w:i w:val="0"/>
                <w:caps w:val="0"/>
                <w:color w:val="333333"/>
                <w:spacing w:val="0"/>
                <w:sz w:val="18"/>
                <w:szCs w:val="18"/>
              </w:rPr>
              <w:t>～</w:t>
            </w:r>
            <w:r>
              <w:rPr>
                <w:rFonts w:hint="eastAsia" w:ascii="仿宋_GB2312" w:hAnsi="微软雅黑" w:eastAsia="仿宋_GB2312" w:cs="仿宋_GB2312"/>
                <w:i w:val="0"/>
                <w:caps w:val="0"/>
                <w:color w:val="333333"/>
                <w:spacing w:val="0"/>
                <w:sz w:val="18"/>
                <w:szCs w:val="18"/>
              </w:rPr>
              <w:t>60</w:t>
            </w:r>
            <w:r>
              <w:rPr>
                <w:rFonts w:hint="eastAsia" w:ascii="宋体" w:hAnsi="宋体" w:eastAsia="宋体" w:cs="宋体"/>
                <w:i w:val="0"/>
                <w:caps w:val="0"/>
                <w:color w:val="333333"/>
                <w:spacing w:val="0"/>
                <w:sz w:val="18"/>
                <w:szCs w:val="18"/>
              </w:rPr>
              <w:t>分（含）为</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中</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，低于</w:t>
            </w:r>
            <w:r>
              <w:rPr>
                <w:rFonts w:hint="eastAsia" w:ascii="仿宋_GB2312" w:hAnsi="微软雅黑" w:eastAsia="仿宋_GB2312" w:cs="仿宋_GB2312"/>
                <w:i w:val="0"/>
                <w:caps w:val="0"/>
                <w:color w:val="333333"/>
                <w:spacing w:val="0"/>
                <w:sz w:val="18"/>
                <w:szCs w:val="18"/>
              </w:rPr>
              <w:t>60</w:t>
            </w:r>
            <w:r>
              <w:rPr>
                <w:rFonts w:hint="eastAsia" w:ascii="宋体" w:hAnsi="宋体" w:eastAsia="宋体" w:cs="宋体"/>
                <w:i w:val="0"/>
                <w:caps w:val="0"/>
                <w:color w:val="333333"/>
                <w:spacing w:val="0"/>
                <w:sz w:val="18"/>
                <w:szCs w:val="18"/>
              </w:rPr>
              <w:t>分为</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差</w:t>
            </w:r>
            <w:r>
              <w:rPr>
                <w:rFonts w:hint="eastAsia" w:ascii="仿宋_GB2312" w:hAnsi="微软雅黑" w:eastAsia="仿宋_GB2312" w:cs="仿宋_GB2312"/>
                <w:i w:val="0"/>
                <w:caps w:val="0"/>
                <w:color w:val="333333"/>
                <w:spacing w:val="0"/>
                <w:sz w:val="18"/>
                <w:szCs w:val="18"/>
              </w:rPr>
              <w:t>”</w:t>
            </w:r>
            <w:r>
              <w:rPr>
                <w:rFonts w:hint="eastAsia" w:ascii="宋体" w:hAnsi="宋体" w:eastAsia="宋体" w:cs="宋体"/>
                <w:i w:val="0"/>
                <w:caps w:val="0"/>
                <w:color w:val="333333"/>
                <w:spacing w:val="0"/>
                <w:sz w:val="18"/>
                <w:szCs w:val="18"/>
              </w:rPr>
              <w:t>。</w:t>
            </w:r>
          </w:p>
        </w:tc>
      </w:tr>
    </w:tbl>
    <w:p>
      <w:pPr>
        <w:numPr>
          <w:ilvl w:val="0"/>
          <w:numId w:val="0"/>
        </w:numPr>
        <w:spacing w:beforeLines="0" w:afterLines="0" w:line="600" w:lineRule="exact"/>
        <w:ind w:firstLine="643" w:firstLineChars="200"/>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eastAsia="zh-CN"/>
        </w:rPr>
        <w:t>3.</w:t>
      </w:r>
      <w:r>
        <w:rPr>
          <w:rFonts w:hint="eastAsia" w:ascii="仿宋" w:hAnsi="仿宋" w:eastAsia="仿宋"/>
          <w:b/>
          <w:color w:val="000000"/>
          <w:sz w:val="32"/>
          <w:highlight w:val="white"/>
          <w:lang w:val="en-US"/>
        </w:rPr>
        <w:t>财政评价项目绩效评价结果。</w:t>
      </w:r>
    </w:p>
    <w:p>
      <w:pPr>
        <w:numPr>
          <w:ilvl w:val="0"/>
          <w:numId w:val="0"/>
        </w:numPr>
        <w:spacing w:beforeLines="0" w:afterLines="0" w:line="600" w:lineRule="exact"/>
        <w:rPr>
          <w:rFonts w:hint="default" w:ascii="仿宋" w:hAnsi="仿宋" w:eastAsia="仿宋"/>
          <w:b/>
          <w:color w:val="000000"/>
          <w:sz w:val="32"/>
          <w:highlight w:val="white"/>
          <w:lang w:val="en-US" w:eastAsia="zh-CN"/>
        </w:rPr>
      </w:pPr>
      <w:r>
        <w:rPr>
          <w:rFonts w:hint="eastAsia" w:ascii="仿宋" w:hAnsi="仿宋" w:eastAsia="仿宋"/>
          <w:b/>
          <w:color w:val="000000"/>
          <w:sz w:val="32"/>
          <w:highlight w:val="white"/>
          <w:lang w:val="en-US" w:eastAsia="zh-CN"/>
        </w:rPr>
        <w:t xml:space="preserve">   </w:t>
      </w:r>
      <w:r>
        <w:rPr>
          <w:rFonts w:hint="eastAsia" w:ascii="仿宋" w:hAnsi="仿宋" w:eastAsia="仿宋"/>
          <w:b w:val="0"/>
          <w:bCs/>
          <w:color w:val="000000"/>
          <w:sz w:val="32"/>
          <w:highlight w:val="white"/>
          <w:lang w:val="en-US" w:eastAsia="zh-CN"/>
        </w:rPr>
        <w:t xml:space="preserve"> 无</w:t>
      </w:r>
    </w:p>
    <w:p>
      <w:pPr>
        <w:spacing w:beforeLines="0" w:afterLines="0" w:line="600" w:lineRule="exact"/>
        <w:ind w:firstLine="640"/>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4.部门评价项目绩效评价结果。</w:t>
      </w:r>
    </w:p>
    <w:p>
      <w:pPr>
        <w:spacing w:beforeLines="0" w:afterLines="0" w:line="600" w:lineRule="exact"/>
        <w:ind w:firstLine="640" w:firstLineChars="200"/>
        <w:rPr>
          <w:rFonts w:hint="eastAsia" w:ascii="仿宋" w:hAnsi="仿宋" w:eastAsia="仿宋"/>
          <w:b/>
          <w:color w:val="000000"/>
          <w:sz w:val="32"/>
          <w:highlight w:val="white"/>
          <w:lang w:val="en-US" w:eastAsia="zh-CN"/>
        </w:rPr>
      </w:pPr>
      <w:r>
        <w:rPr>
          <w:rFonts w:hint="eastAsia" w:ascii="仿宋" w:hAnsi="仿宋" w:eastAsia="仿宋"/>
          <w:b w:val="0"/>
          <w:bCs/>
          <w:color w:val="000000"/>
          <w:sz w:val="32"/>
          <w:highlight w:val="white"/>
          <w:lang w:val="en-US" w:eastAsia="zh-CN"/>
        </w:rPr>
        <w:t>无</w:t>
      </w:r>
    </w:p>
    <w:p>
      <w:pPr>
        <w:keepNext/>
        <w:keepLines/>
        <w:spacing w:beforeLines="0" w:afterLines="0" w:line="600" w:lineRule="exact"/>
        <w:ind w:firstLine="641"/>
        <w:jc w:val="left"/>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四、名词解释</w:t>
      </w:r>
    </w:p>
    <w:p>
      <w:pPr>
        <w:spacing w:beforeLines="0" w:afterLines="0" w:line="600" w:lineRule="exact"/>
        <w:ind w:firstLine="640"/>
        <w:rPr>
          <w:rFonts w:hint="eastAsia" w:ascii="仿宋" w:hAnsi="仿宋" w:eastAsia="仿宋"/>
          <w:color w:val="000000"/>
          <w:sz w:val="32"/>
          <w:highlight w:val="white"/>
          <w:lang w:val="zh-CN"/>
        </w:rPr>
      </w:pPr>
      <w:r>
        <w:rPr>
          <w:rFonts w:hint="eastAsia" w:ascii="仿宋" w:hAnsi="仿宋" w:eastAsia="仿宋"/>
          <w:color w:val="000000"/>
          <w:sz w:val="32"/>
          <w:highlight w:val="white"/>
          <w:lang w:val="zh-CN"/>
        </w:rPr>
        <w:t>1.财政拨款收入：指本级财政部门当年拨付的财政预算资金，包括一般公共预算财政拨款、政府性基金预算财政拨款和国有资本经营预算财政拨款。</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zh-CN"/>
        </w:rPr>
        <w:t>2.事业收入：指事业单位开展专业业务活动及辅助活动所取得的收入。</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3.经营收入：指事业单位在专业业务活动及辅助活动之外开展非独立核算经营活动取得的收入。</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4.上级补助收入：指事业单位从主管部门和上级单位取得的非财政补助收入。</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5.附属单位上缴收入：指事业单位附属独立核算单位按照有关规定上缴的收入。</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6.其他收入：指预算单位在</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财政拨款</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事业收入</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经营收入</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上级补助收入</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附属单位上缴收入</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等之外取得的各项收入。</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7.使用非财政拨款结余：指事业单位使用以前年度积累的非财政拨款结余弥补当年收支差额的金额。</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8.年初结转和结余：指预算单位以前年度尚未完成、结转到本年仍按原规定用途继续使用的资金。</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9.年末结转和结余：指单位按有关规定结转到下年或以后年度继续使用的资金。</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10.基本支出：指预算单位为保障其正常运转，完成日常工作任务所发生的支出，包括人员经费支出和日常公用经费支出。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11.项目支出：指预算单位为完成其特定的行政工作任务或事业发展目标所发生的支出。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12.上缴上级支出：填列事业单位按照财政部门和主管部门的规定上缴上级单位的支出。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13.经营支出：指事业单位在专业业务活动及其辅助活动之外开展非独立核算经营活动发生的支出。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14.附属单位补助支出：填列事业单位用财政补助收入之外的收入对附属单位补助发生的支出。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15.</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经费：纳入财政预决算管理的</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三公</w:t>
      </w:r>
      <w:r>
        <w:rPr>
          <w:rFonts w:hint="default" w:ascii="仿宋" w:hAnsi="仿宋" w:eastAsia="仿宋"/>
          <w:color w:val="000000"/>
          <w:sz w:val="32"/>
          <w:highlight w:val="white"/>
          <w:lang w:val="en-US"/>
        </w:rPr>
        <w:t>”</w:t>
      </w:r>
      <w:r>
        <w:rPr>
          <w:rFonts w:hint="eastAsia" w:ascii="仿宋" w:hAnsi="仿宋" w:eastAsia="仿宋"/>
          <w:color w:val="000000"/>
          <w:sz w:val="32"/>
          <w:highlight w:val="white"/>
          <w:lang w:val="en-US"/>
        </w:rPr>
        <w:t>经费，是指部门用财政拨款安排的因公出国（境）费用、公务用车购置及运行费和公务接待费。其中，因公出国（境）费用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仿宋" w:eastAsia="仿宋"/>
          <w:color w:val="000000"/>
          <w:sz w:val="32"/>
          <w:highlight w:val="white"/>
        </w:rPr>
        <w:t>1</w:t>
      </w:r>
      <w:r>
        <w:rPr>
          <w:rFonts w:hint="eastAsia" w:ascii="仿宋" w:hAnsi="仿宋" w:eastAsia="仿宋"/>
          <w:color w:val="000000"/>
          <w:sz w:val="32"/>
          <w:highlight w:val="white"/>
          <w:lang w:val="en-US" w:eastAsia="zh-CN"/>
        </w:rPr>
        <w:t>7</w:t>
      </w:r>
      <w:r>
        <w:rPr>
          <w:rFonts w:hint="eastAsia" w:ascii="仿宋" w:hAnsi="仿宋" w:eastAsia="仿宋"/>
          <w:color w:val="000000"/>
          <w:sz w:val="32"/>
          <w:highlight w:val="white"/>
        </w:rPr>
        <w:t>.</w:t>
      </w:r>
      <w:r>
        <w:rPr>
          <w:rFonts w:hint="eastAsia" w:ascii="仿宋" w:hAnsi="Times New Roman" w:eastAsia="仿宋"/>
          <w:color w:val="000000"/>
          <w:sz w:val="32"/>
          <w:highlight w:val="white"/>
        </w:rPr>
        <w:t>社会保障和就业支出（类）行政事业单位离退休（款）机关事业单位基本养老保险缴费支出（项）：反映机关事业单位实施养老保险制度由单位缴纳的基本养老保险支出。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1</w:t>
      </w:r>
      <w:r>
        <w:rPr>
          <w:rFonts w:hint="eastAsia" w:ascii="仿宋" w:hAnsi="Times New Roman" w:eastAsia="仿宋"/>
          <w:color w:val="000000"/>
          <w:sz w:val="32"/>
          <w:highlight w:val="white"/>
          <w:lang w:val="en-US" w:eastAsia="zh-CN"/>
        </w:rPr>
        <w:t>8</w:t>
      </w:r>
      <w:r>
        <w:rPr>
          <w:rFonts w:hint="eastAsia" w:ascii="仿宋" w:hAnsi="Times New Roman" w:eastAsia="仿宋"/>
          <w:color w:val="000000"/>
          <w:sz w:val="32"/>
          <w:highlight w:val="white"/>
        </w:rPr>
        <w:t>.社会保障和就业支出（类）行政事业单位离退休（款）机关事业单位职业年金缴费支出（项）：指机关事业单位实施养老保险制度由单位实际缴纳的职业年金支出。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1</w:t>
      </w:r>
      <w:r>
        <w:rPr>
          <w:rFonts w:hint="eastAsia" w:ascii="仿宋" w:hAnsi="Times New Roman" w:eastAsia="仿宋"/>
          <w:color w:val="000000"/>
          <w:sz w:val="32"/>
          <w:highlight w:val="white"/>
          <w:lang w:val="en-US" w:eastAsia="zh-CN"/>
        </w:rPr>
        <w:t>9</w:t>
      </w:r>
      <w:r>
        <w:rPr>
          <w:rFonts w:hint="eastAsia" w:ascii="仿宋" w:hAnsi="Times New Roman" w:eastAsia="仿宋"/>
          <w:color w:val="000000"/>
          <w:sz w:val="32"/>
          <w:highlight w:val="white"/>
        </w:rPr>
        <w:t>.医疗卫生与计划生育支出（类）行政事业单位医疗（款）公务员医疗补助（项）：反映财政部门集中安排的公务员医疗补助经费。</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lang w:val="en-US" w:eastAsia="zh-CN"/>
        </w:rPr>
        <w:t>20</w:t>
      </w:r>
      <w:r>
        <w:rPr>
          <w:rFonts w:hint="eastAsia" w:ascii="仿宋" w:hAnsi="Times New Roman" w:eastAsia="仿宋"/>
          <w:color w:val="000000"/>
          <w:sz w:val="32"/>
          <w:highlight w:val="white"/>
        </w:rPr>
        <w:t>、医疗卫生与计划生育支出（类）行政事业单位医疗（款）其他行政事业单位医疗支出（项）：指其他用于行政事业单位医疗方面的支出。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lang w:val="en-US" w:eastAsia="zh-CN"/>
        </w:rPr>
        <w:t>21</w:t>
      </w:r>
      <w:r>
        <w:rPr>
          <w:rFonts w:hint="eastAsia" w:ascii="仿宋" w:hAnsi="Times New Roman" w:eastAsia="仿宋"/>
          <w:color w:val="000000"/>
          <w:sz w:val="32"/>
          <w:highlight w:val="white"/>
        </w:rPr>
        <w:t>.一般公共服务支出（类）政府办公厅（室）及相关机构事务（款）行政运行（项）：反映行政单位（包括实行公务员管理的事业单位）的基本支出。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2</w:t>
      </w:r>
      <w:r>
        <w:rPr>
          <w:rFonts w:hint="eastAsia" w:ascii="仿宋" w:hAnsi="Times New Roman" w:eastAsia="仿宋"/>
          <w:color w:val="000000"/>
          <w:sz w:val="32"/>
          <w:highlight w:val="white"/>
        </w:rPr>
        <w:t>.一般公共服务支出（类）政府办公厅（室）及相关机构事务（款）一般行政管理事务：反映行政单位（包括实行公务员管理的事业单位）未单独设置项级科目的其他项目支出。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3</w:t>
      </w:r>
      <w:r>
        <w:rPr>
          <w:rFonts w:hint="eastAsia" w:ascii="仿宋" w:hAnsi="Times New Roman" w:eastAsia="仿宋"/>
          <w:color w:val="000000"/>
          <w:sz w:val="32"/>
          <w:highlight w:val="white"/>
        </w:rPr>
        <w:t>.一般公共服务支出（类）政府办公厅（室）及相关机构事务（款）专项业务活动：反映各级政府举行各类重大活动、召开重要会议（如国务院一类会议、国庆招待会、全国劳模大会）的支出，政府机关房地产管理、公务用车管理等方面的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4</w:t>
      </w:r>
      <w:r>
        <w:rPr>
          <w:rFonts w:hint="eastAsia" w:ascii="仿宋" w:hAnsi="Times New Roman" w:eastAsia="仿宋"/>
          <w:color w:val="000000"/>
          <w:sz w:val="32"/>
          <w:highlight w:val="white"/>
        </w:rPr>
        <w:t>.一般公共服务支出（类）政府办公厅（室）及相关机构事务（款）其他政府办公厅（室）及相关机构事务支出：反映除上述项目以外的其他政府办公厅（室）及相关机构事务支出。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5</w:t>
      </w:r>
      <w:r>
        <w:rPr>
          <w:rFonts w:hint="eastAsia" w:ascii="仿宋" w:hAnsi="Times New Roman" w:eastAsia="仿宋"/>
          <w:color w:val="000000"/>
          <w:sz w:val="32"/>
          <w:highlight w:val="white"/>
        </w:rPr>
        <w:t>.文化旅游体育与传媒支出（类）文化和旅游（款）其他文化和旅游支出（项）：</w:t>
      </w:r>
      <w:r>
        <w:rPr>
          <w:rFonts w:hint="eastAsia" w:ascii="仿宋" w:hAnsi="Times New Roman" w:eastAsia="仿宋"/>
          <w:color w:val="000000"/>
          <w:sz w:val="32"/>
          <w:highlight w:val="white"/>
          <w:lang w:eastAsia="zh-CN"/>
        </w:rPr>
        <w:t>反映</w:t>
      </w:r>
      <w:r>
        <w:rPr>
          <w:rFonts w:hint="eastAsia" w:ascii="仿宋" w:hAnsi="Times New Roman" w:eastAsia="仿宋"/>
          <w:color w:val="000000"/>
          <w:sz w:val="32"/>
          <w:highlight w:val="white"/>
        </w:rPr>
        <w:t>除上述项目以外</w:t>
      </w:r>
      <w:r>
        <w:rPr>
          <w:rFonts w:hint="eastAsia" w:ascii="仿宋" w:hAnsi="Times New Roman" w:eastAsia="仿宋"/>
          <w:color w:val="000000"/>
          <w:sz w:val="32"/>
          <w:highlight w:val="white"/>
          <w:lang w:eastAsia="zh-CN"/>
        </w:rPr>
        <w:t>其他用于</w:t>
      </w:r>
      <w:r>
        <w:rPr>
          <w:rFonts w:hint="eastAsia" w:ascii="仿宋" w:hAnsi="Times New Roman" w:eastAsia="仿宋"/>
          <w:color w:val="000000"/>
          <w:sz w:val="32"/>
          <w:highlight w:val="white"/>
        </w:rPr>
        <w:t>文化和旅游</w:t>
      </w:r>
      <w:r>
        <w:rPr>
          <w:rFonts w:hint="eastAsia" w:ascii="仿宋" w:hAnsi="Times New Roman" w:eastAsia="仿宋"/>
          <w:color w:val="000000"/>
          <w:sz w:val="32"/>
          <w:highlight w:val="white"/>
          <w:lang w:eastAsia="zh-CN"/>
        </w:rPr>
        <w:t>方面的</w:t>
      </w:r>
      <w:r>
        <w:rPr>
          <w:rFonts w:hint="eastAsia" w:ascii="仿宋" w:hAnsi="Times New Roman" w:eastAsia="仿宋"/>
          <w:color w:val="000000"/>
          <w:sz w:val="32"/>
          <w:highlight w:val="white"/>
        </w:rPr>
        <w:t>支出。</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6</w:t>
      </w:r>
      <w:r>
        <w:rPr>
          <w:rFonts w:hint="eastAsia" w:ascii="仿宋" w:hAnsi="Times New Roman" w:eastAsia="仿宋"/>
          <w:color w:val="000000"/>
          <w:sz w:val="32"/>
          <w:highlight w:val="white"/>
        </w:rPr>
        <w:t>、住房保障支出(类)住房改革支出(款)住房公积金（项）:反映行政事业单位按人力资源和社会保障部、财政部规定的基本工资和津贴补贴以及规定比例为职工缴纳的住房公积金。</w:t>
      </w:r>
      <w:r>
        <w:rPr>
          <w:rFonts w:hint="default" w:ascii="仿宋" w:hAnsi="Times New Roman" w:eastAsia="仿宋"/>
          <w:color w:val="000000"/>
          <w:sz w:val="32"/>
          <w:highlight w:val="white"/>
        </w:rPr>
        <w:t> </w:t>
      </w:r>
    </w:p>
    <w:p>
      <w:pPr>
        <w:autoSpaceDE w:val="0"/>
        <w:autoSpaceDN w:val="0"/>
        <w:adjustRightInd w:val="0"/>
        <w:spacing w:beforeLines="0" w:afterLines="0" w:line="324" w:lineRule="auto"/>
        <w:ind w:firstLine="594"/>
        <w:rPr>
          <w:rFonts w:hint="default" w:ascii="仿宋" w:hAnsi="Times New Roman" w:eastAsia="仿宋"/>
          <w:color w:val="000000"/>
          <w:sz w:val="32"/>
          <w:highlight w:val="white"/>
        </w:rPr>
      </w:pPr>
      <w:r>
        <w:rPr>
          <w:rFonts w:hint="eastAsia" w:ascii="仿宋" w:hAnsi="Times New Roman" w:eastAsia="仿宋"/>
          <w:color w:val="000000"/>
          <w:sz w:val="32"/>
          <w:highlight w:val="white"/>
        </w:rPr>
        <w:t>2</w:t>
      </w:r>
      <w:r>
        <w:rPr>
          <w:rFonts w:hint="eastAsia" w:ascii="仿宋" w:hAnsi="Times New Roman" w:eastAsia="仿宋"/>
          <w:color w:val="000000"/>
          <w:sz w:val="32"/>
          <w:highlight w:val="white"/>
          <w:lang w:val="en-US" w:eastAsia="zh-CN"/>
        </w:rPr>
        <w:t>7</w:t>
      </w:r>
      <w:r>
        <w:rPr>
          <w:rFonts w:hint="eastAsia" w:ascii="仿宋" w:hAnsi="Times New Roman" w:eastAsia="仿宋"/>
          <w:color w:val="000000"/>
          <w:sz w:val="32"/>
          <w:highlight w:val="white"/>
        </w:rPr>
        <w:t>.其他支出（类）其他政府性基金及对应专项债务收入安排的支出（款）其他政府性基金及对应专项债务收入安排的支出（项）：反映政府性基金对应专项债务收入安排的支出。</w:t>
      </w:r>
    </w:p>
    <w:p>
      <w:pPr>
        <w:keepNext/>
        <w:keepLines/>
        <w:spacing w:beforeLines="0" w:afterLines="0" w:line="600" w:lineRule="exact"/>
        <w:ind w:firstLine="641"/>
        <w:jc w:val="left"/>
        <w:rPr>
          <w:rFonts w:hint="eastAsia" w:ascii="黑体" w:hAnsi="黑体" w:eastAsia="黑体"/>
          <w:b/>
          <w:color w:val="000000"/>
          <w:sz w:val="32"/>
          <w:highlight w:val="white"/>
          <w:lang w:val="en-US"/>
        </w:rPr>
      </w:pPr>
    </w:p>
    <w:p>
      <w:pPr>
        <w:keepNext/>
        <w:keepLines/>
        <w:spacing w:beforeLines="0" w:afterLines="0" w:line="600" w:lineRule="exact"/>
        <w:ind w:firstLine="641"/>
        <w:jc w:val="left"/>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五、附件</w:t>
      </w:r>
    </w:p>
    <w:p>
      <w:pPr>
        <w:spacing w:beforeLines="0" w:afterLines="0" w:line="600" w:lineRule="exact"/>
        <w:ind w:firstLine="640"/>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2022年部门项目支出绩效自评结果清单</w:t>
      </w:r>
    </w:p>
    <w:tbl>
      <w:tblPr>
        <w:tblStyle w:val="4"/>
        <w:tblpPr w:leftFromText="180" w:rightFromText="180" w:vertAnchor="text" w:horzAnchor="page" w:tblpX="2489" w:tblpY="151"/>
        <w:tblOverlap w:val="never"/>
        <w:tblW w:w="6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8"/>
        <w:gridCol w:w="22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预算单位</w:t>
            </w:r>
          </w:p>
        </w:tc>
        <w:tc>
          <w:tcPr>
            <w:tcW w:w="2250"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项目名称</w:t>
            </w:r>
          </w:p>
        </w:tc>
        <w:tc>
          <w:tcPr>
            <w:tcW w:w="1275"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遂昌县公务用车服务中心</w:t>
            </w:r>
          </w:p>
        </w:tc>
        <w:tc>
          <w:tcPr>
            <w:tcW w:w="2250"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车辆购置费用</w:t>
            </w:r>
          </w:p>
        </w:tc>
        <w:tc>
          <w:tcPr>
            <w:tcW w:w="1275"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遂昌县公务用车服务中心</w:t>
            </w:r>
          </w:p>
        </w:tc>
        <w:tc>
          <w:tcPr>
            <w:tcW w:w="2250"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办公设备购置</w:t>
            </w:r>
          </w:p>
        </w:tc>
        <w:tc>
          <w:tcPr>
            <w:tcW w:w="1275"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遂昌县公务用车服务中心</w:t>
            </w:r>
          </w:p>
        </w:tc>
        <w:tc>
          <w:tcPr>
            <w:tcW w:w="2250"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办公楼租金</w:t>
            </w:r>
          </w:p>
        </w:tc>
        <w:tc>
          <w:tcPr>
            <w:tcW w:w="1275"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8"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遂昌县公务用车服务中心</w:t>
            </w:r>
          </w:p>
        </w:tc>
        <w:tc>
          <w:tcPr>
            <w:tcW w:w="2250"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体育惠民工程</w:t>
            </w:r>
          </w:p>
        </w:tc>
        <w:tc>
          <w:tcPr>
            <w:tcW w:w="1275" w:type="dxa"/>
          </w:tcPr>
          <w:p>
            <w:pPr>
              <w:widowControl w:val="0"/>
              <w:spacing w:beforeLines="0" w:afterLines="0" w:line="600" w:lineRule="exact"/>
              <w:rPr>
                <w:rFonts w:hint="eastAsia" w:ascii="仿宋" w:hAnsi="仿宋" w:eastAsia="仿宋"/>
                <w:color w:val="000000"/>
                <w:sz w:val="24"/>
                <w:szCs w:val="24"/>
                <w:highlight w:val="white"/>
                <w:vertAlign w:val="baseline"/>
                <w:lang w:val="zh-CN"/>
              </w:rPr>
            </w:pPr>
            <w:r>
              <w:rPr>
                <w:rFonts w:hint="eastAsia" w:ascii="仿宋" w:hAnsi="仿宋" w:eastAsia="仿宋"/>
                <w:color w:val="000000"/>
                <w:sz w:val="24"/>
                <w:szCs w:val="24"/>
                <w:highlight w:val="white"/>
                <w:vertAlign w:val="baseline"/>
                <w:lang w:val="zh-CN"/>
              </w:rPr>
              <w:t>优</w:t>
            </w:r>
          </w:p>
        </w:tc>
      </w:tr>
    </w:tbl>
    <w:p>
      <w:pPr>
        <w:spacing w:beforeLines="0" w:afterLines="0" w:line="600" w:lineRule="exact"/>
        <w:ind w:firstLine="640"/>
        <w:rPr>
          <w:rFonts w:hint="eastAsia" w:ascii="仿宋" w:hAnsi="仿宋" w:eastAsia="仿宋"/>
          <w:color w:val="000000"/>
          <w:sz w:val="32"/>
          <w:highlight w:val="white"/>
          <w:lang w:val="zh-CN"/>
        </w:rPr>
      </w:pPr>
      <w:bookmarkStart w:id="0" w:name="_GoBack"/>
      <w:bookmarkEnd w:id="0"/>
    </w:p>
    <w:sectPr>
      <w:pgSz w:w="11905" w:h="16838"/>
      <w:pgMar w:top="1440" w:right="1800" w:bottom="1440" w:left="1800" w:header="720" w:footer="720" w:gutter="0"/>
      <w:lnNumType w:countBy="0" w:distance="36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ÂËÎ">
    <w:altName w:val="RomanS"/>
    <w:panose1 w:val="00000000000000000000"/>
    <w:charset w:val="00"/>
    <w:family w:val="auto"/>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RomanS">
    <w:panose1 w:val="02000400000000000000"/>
    <w:charset w:val="00"/>
    <w:family w:val="auto"/>
    <w:pitch w:val="default"/>
    <w:sig w:usb0="0000020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5C881"/>
    <w:multiLevelType w:val="singleLevel"/>
    <w:tmpl w:val="7F05C88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92013"/>
    <w:rsid w:val="032C58F4"/>
    <w:rsid w:val="0C201D8E"/>
    <w:rsid w:val="0D484D4C"/>
    <w:rsid w:val="117C7890"/>
    <w:rsid w:val="130E399C"/>
    <w:rsid w:val="1540650D"/>
    <w:rsid w:val="17BA7F17"/>
    <w:rsid w:val="1B073963"/>
    <w:rsid w:val="21F2739E"/>
    <w:rsid w:val="247B4761"/>
    <w:rsid w:val="29CA1A34"/>
    <w:rsid w:val="2BE93366"/>
    <w:rsid w:val="42166DAB"/>
    <w:rsid w:val="45577F37"/>
    <w:rsid w:val="47C84D18"/>
    <w:rsid w:val="4F754E06"/>
    <w:rsid w:val="54AD3A0C"/>
    <w:rsid w:val="5AE27C05"/>
    <w:rsid w:val="5C6F1BE1"/>
    <w:rsid w:val="5E2C42AB"/>
    <w:rsid w:val="5FE71002"/>
    <w:rsid w:val="64905EDD"/>
    <w:rsid w:val="6BDF2681"/>
    <w:rsid w:val="6F871D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5">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4">
    <w:name w:val="Table Grid"/>
    <w:basedOn w:val="3"/>
    <w:semiHidden/>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2023-09-05T01:18:00Z</dcterms:created>
  <dc:creator>Administrator</dc:creator>
  <cp:lastModifiedBy>Administrator</cp:lastModifiedBy>
  <dcterms:modified xsi:type="dcterms:W3CDTF">2023-09-11T07:55:09Z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